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021E" w:rsidP="00014723" w:rsidRDefault="006A021E" w14:paraId="18ECB9E2" w14:textId="77777777">
      <w:pPr>
        <w:pStyle w:val="Texto"/>
        <w:spacing w:before="0" w:after="0" w:line="240" w:lineRule="auto"/>
        <w:rPr>
          <w:sz w:val="24"/>
        </w:rPr>
      </w:pPr>
    </w:p>
    <w:p w:rsidR="006A021E" w:rsidP="00B64CD7" w:rsidRDefault="006A021E" w14:paraId="464D1C2A" w14:textId="17D07D1E">
      <w:pPr>
        <w:tabs>
          <w:tab w:val="left" w:pos="2843"/>
        </w:tabs>
        <w:spacing w:line="240" w:lineRule="auto"/>
        <w:contextualSpacing/>
        <w:jc w:val="center"/>
        <w:rPr>
          <w:sz w:val="24"/>
        </w:rPr>
      </w:pPr>
      <w:r w:rsidRPr="00D03131">
        <w:rPr>
          <w:b/>
          <w:sz w:val="24"/>
        </w:rPr>
        <w:t>CIRCULAR EXTERN</w:t>
      </w:r>
      <w:r w:rsidR="00B64CD7">
        <w:rPr>
          <w:b/>
          <w:sz w:val="24"/>
        </w:rPr>
        <w:t>A</w:t>
      </w:r>
    </w:p>
    <w:sdt>
      <w:sdtPr>
        <w:rPr>
          <w:sz w:val="24"/>
        </w:rPr>
        <w:alias w:val="Consecutivo"/>
        <w:tag w:val="Consecutivo"/>
        <w:id w:val="2052717023"/>
        <w:placeholder>
          <w:docPart w:val="7868020E0C2B4C7289C38567E824A2DE"/>
        </w:placeholder>
        <w:text/>
      </w:sdtPr>
      <w:sdtEndPr/>
      <w:sdtContent>
        <w:p w:rsidR="006972C9" w:rsidP="00A109F4" w:rsidRDefault="006972C9" w14:paraId="73E6FE7B" w14:textId="77777777">
          <w:pPr>
            <w:tabs>
              <w:tab w:val="left" w:pos="2843"/>
            </w:tabs>
            <w:spacing w:line="240" w:lineRule="auto"/>
            <w:jc w:val="center"/>
            <w:rPr>
              <w:sz w:val="24"/>
            </w:rPr>
          </w:pPr>
          <w:r>
            <w:t>SGF-0853-2022</w:t>
          </w:r>
        </w:p>
      </w:sdtContent>
    </w:sdt>
    <w:p w:rsidR="006972C9" w:rsidP="00A109F4" w:rsidRDefault="00B64CD7" w14:paraId="7FBDA30D" w14:textId="2ECD7BDF">
      <w:pPr>
        <w:tabs>
          <w:tab w:val="left" w:pos="2843"/>
        </w:tabs>
        <w:spacing w:line="240" w:lineRule="auto"/>
        <w:jc w:val="center"/>
        <w:rPr>
          <w:sz w:val="24"/>
        </w:rPr>
      </w:pPr>
      <w:sdt>
        <w:sdtPr>
          <w:rPr>
            <w:sz w:val="24"/>
          </w:rPr>
          <w:alias w:val="Confidencialidad"/>
          <w:tag w:val="Confidencialidad"/>
          <w:id w:val="1447896894"/>
          <w:placeholder>
            <w:docPart w:val="B73CD0DCFE4A4AABA834E8F908B5132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9B20F0">
            <w:rPr>
              <w:sz w:val="24"/>
            </w:rPr>
            <w:t>SGF-PUBLICO</w:t>
          </w:r>
        </w:sdtContent>
      </w:sdt>
    </w:p>
    <w:p w:rsidRPr="002E2B0A" w:rsidR="006972C9" w:rsidP="00A109F4" w:rsidRDefault="00A109F4" w14:paraId="292518FE" w14:textId="611D53E6">
      <w:pPr>
        <w:tabs>
          <w:tab w:val="left" w:pos="2843"/>
        </w:tabs>
        <w:spacing w:line="240" w:lineRule="auto"/>
        <w:jc w:val="center"/>
        <w:rPr>
          <w:sz w:val="24"/>
        </w:rPr>
      </w:pPr>
      <w:r>
        <w:rPr>
          <w:sz w:val="24"/>
        </w:rPr>
        <w:t>2</w:t>
      </w:r>
      <w:r w:rsidR="00B64CD7">
        <w:rPr>
          <w:sz w:val="24"/>
        </w:rPr>
        <w:t>6</w:t>
      </w:r>
      <w:r>
        <w:rPr>
          <w:sz w:val="24"/>
        </w:rPr>
        <w:t xml:space="preserve"> de abril de 202</w:t>
      </w:r>
      <w:r w:rsidR="009B20F0">
        <w:rPr>
          <w:sz w:val="24"/>
        </w:rPr>
        <w:t>2</w:t>
      </w:r>
    </w:p>
    <w:p w:rsidRPr="002E2B0A" w:rsidR="00F318B8" w:rsidP="00F318B8" w:rsidRDefault="00F318B8" w14:paraId="4947452E" w14:textId="378BA7AF">
      <w:pPr>
        <w:pStyle w:val="Texto"/>
        <w:spacing w:before="0" w:after="0" w:line="240" w:lineRule="auto"/>
        <w:jc w:val="center"/>
        <w:rPr>
          <w:sz w:val="24"/>
        </w:rPr>
      </w:pPr>
    </w:p>
    <w:p w:rsidRPr="002E2B0A" w:rsidR="00F318B8" w:rsidP="00F318B8" w:rsidRDefault="00F318B8" w14:paraId="02EF144F" w14:textId="77777777">
      <w:pPr>
        <w:tabs>
          <w:tab w:val="left" w:pos="2843"/>
        </w:tabs>
        <w:spacing w:line="240" w:lineRule="auto"/>
        <w:rPr>
          <w:sz w:val="24"/>
        </w:rPr>
      </w:pPr>
    </w:p>
    <w:p w:rsidR="00F318B8" w:rsidP="00F318B8" w:rsidRDefault="00F318B8" w14:paraId="28EADCB6" w14:textId="14A6A0D9">
      <w:pPr>
        <w:tabs>
          <w:tab w:val="left" w:pos="2843"/>
        </w:tabs>
        <w:spacing w:line="240" w:lineRule="auto"/>
        <w:rPr>
          <w:b/>
          <w:sz w:val="24"/>
          <w:lang w:val="es-CR"/>
        </w:rPr>
      </w:pPr>
      <w:r w:rsidRPr="00D03131">
        <w:rPr>
          <w:b/>
          <w:sz w:val="24"/>
          <w:lang w:val="es-CR"/>
        </w:rPr>
        <w:t xml:space="preserve">Dirigida a: </w:t>
      </w:r>
    </w:p>
    <w:p w:rsidRPr="00D03131" w:rsidR="00B64CD7" w:rsidP="00F318B8" w:rsidRDefault="00B64CD7" w14:paraId="577567D1" w14:textId="77777777">
      <w:pPr>
        <w:tabs>
          <w:tab w:val="left" w:pos="2843"/>
        </w:tabs>
        <w:spacing w:line="240" w:lineRule="auto"/>
        <w:rPr>
          <w:b/>
          <w:sz w:val="24"/>
          <w:lang w:val="es-CR"/>
        </w:rPr>
      </w:pPr>
    </w:p>
    <w:p w:rsidRPr="0043572B" w:rsidR="00F318B8" w:rsidP="00F318B8" w:rsidRDefault="00F318B8" w14:paraId="2234AA1D" w14:textId="77777777">
      <w:pPr>
        <w:pStyle w:val="Prrafodelista"/>
        <w:numPr>
          <w:ilvl w:val="0"/>
          <w:numId w:val="3"/>
        </w:numPr>
        <w:spacing w:line="240" w:lineRule="exact"/>
        <w:jc w:val="both"/>
        <w:rPr>
          <w:rFonts w:ascii="Cambria" w:hAnsi="Cambria"/>
          <w:b/>
        </w:rPr>
      </w:pPr>
      <w:r>
        <w:rPr>
          <w:rFonts w:ascii="Cambria" w:hAnsi="Cambria"/>
          <w:b/>
          <w:lang w:val="es-CR"/>
        </w:rPr>
        <w:t>Sujetos O</w:t>
      </w:r>
      <w:r w:rsidRPr="00D03131">
        <w:rPr>
          <w:rFonts w:ascii="Cambria" w:hAnsi="Cambria"/>
          <w:b/>
          <w:lang w:val="es-CR"/>
        </w:rPr>
        <w:t>bligados por los artículos 15 y 15 bis de la Ley 7786</w:t>
      </w:r>
    </w:p>
    <w:p w:rsidRPr="0043572B" w:rsidR="00F318B8" w:rsidP="00F318B8" w:rsidRDefault="00F318B8" w14:paraId="596EEE74" w14:textId="77777777">
      <w:pPr>
        <w:widowControl w:val="0"/>
        <w:numPr>
          <w:ilvl w:val="0"/>
          <w:numId w:val="3"/>
        </w:numPr>
        <w:spacing w:after="200" w:line="240" w:lineRule="auto"/>
        <w:ind w:right="86"/>
        <w:contextualSpacing/>
        <w:rPr>
          <w:b/>
          <w:sz w:val="24"/>
          <w:lang w:val="es-CR"/>
        </w:rPr>
      </w:pPr>
      <w:r w:rsidRPr="0043572B">
        <w:rPr>
          <w:b/>
          <w:sz w:val="24"/>
          <w:lang w:val="es-CR"/>
        </w:rPr>
        <w:t>A las entidades financieras supervisadas</w:t>
      </w:r>
    </w:p>
    <w:p w:rsidR="00F318B8" w:rsidP="00F318B8" w:rsidRDefault="00F318B8" w14:paraId="0FBEC2C4" w14:textId="77777777">
      <w:pPr>
        <w:widowControl w:val="0"/>
        <w:spacing w:line="240" w:lineRule="auto"/>
        <w:ind w:left="34" w:right="86"/>
        <w:rPr>
          <w:sz w:val="24"/>
        </w:rPr>
      </w:pPr>
    </w:p>
    <w:p w:rsidRPr="00D03131" w:rsidR="00F318B8" w:rsidP="00F318B8" w:rsidRDefault="00F318B8" w14:paraId="2AD64175" w14:textId="77777777">
      <w:pPr>
        <w:rPr>
          <w:b/>
          <w:sz w:val="24"/>
        </w:rPr>
      </w:pPr>
      <w:r w:rsidRPr="00D03131">
        <w:rPr>
          <w:b/>
          <w:sz w:val="24"/>
        </w:rPr>
        <w:t xml:space="preserve">Asunto: </w:t>
      </w:r>
    </w:p>
    <w:p w:rsidRPr="009934B4" w:rsidR="00F318B8" w:rsidP="00F318B8" w:rsidRDefault="00F318B8" w14:paraId="7899FAEB" w14:textId="77777777">
      <w:pPr>
        <w:pStyle w:val="Prrafodelista"/>
        <w:numPr>
          <w:ilvl w:val="0"/>
          <w:numId w:val="4"/>
        </w:numPr>
        <w:jc w:val="both"/>
        <w:rPr>
          <w:rFonts w:ascii="Cambria" w:hAnsi="Cambria"/>
        </w:rPr>
      </w:pPr>
      <w:r>
        <w:rPr>
          <w:rFonts w:ascii="Cambria" w:hAnsi="Cambria"/>
        </w:rPr>
        <w:t>Comunicación del monto</w:t>
      </w:r>
      <w:r w:rsidRPr="009934B4">
        <w:rPr>
          <w:rFonts w:ascii="Cambria" w:hAnsi="Cambria"/>
        </w:rPr>
        <w:t xml:space="preserve"> del canon según el tipo de sujeto obligado</w:t>
      </w:r>
      <w:r>
        <w:rPr>
          <w:rFonts w:ascii="Cambria" w:hAnsi="Cambria"/>
        </w:rPr>
        <w:t xml:space="preserve"> </w:t>
      </w:r>
      <w:r>
        <w:rPr>
          <w:rFonts w:ascii="Cambria" w:hAnsi="Cambria"/>
          <w:bCs/>
          <w:iCs/>
        </w:rPr>
        <w:t xml:space="preserve">para aporte </w:t>
      </w:r>
      <w:r w:rsidRPr="001E25D6">
        <w:rPr>
          <w:rFonts w:ascii="Cambria" w:hAnsi="Cambria"/>
          <w:bCs/>
          <w:iCs/>
        </w:rPr>
        <w:t>al presupuesto de la Superintendencia General de Entidades Financieras (</w:t>
      </w:r>
      <w:r>
        <w:rPr>
          <w:rFonts w:ascii="Cambria" w:hAnsi="Cambria"/>
          <w:bCs/>
          <w:iCs/>
        </w:rPr>
        <w:t>SUGEF</w:t>
      </w:r>
      <w:r w:rsidRPr="001E25D6">
        <w:rPr>
          <w:rFonts w:ascii="Cambria" w:hAnsi="Cambria"/>
          <w:bCs/>
          <w:iCs/>
        </w:rPr>
        <w:t>)</w:t>
      </w:r>
      <w:r>
        <w:rPr>
          <w:rFonts w:ascii="Cambria" w:hAnsi="Cambria"/>
          <w:bCs/>
          <w:iCs/>
        </w:rPr>
        <w:t xml:space="preserve"> para el año 2022</w:t>
      </w:r>
      <w:r w:rsidRPr="009934B4">
        <w:rPr>
          <w:rFonts w:ascii="Cambria" w:hAnsi="Cambria"/>
        </w:rPr>
        <w:t xml:space="preserve">. </w:t>
      </w:r>
    </w:p>
    <w:p w:rsidR="00F318B8" w:rsidP="00F318B8" w:rsidRDefault="00F318B8" w14:paraId="463C0C45" w14:textId="77777777">
      <w:pPr>
        <w:pStyle w:val="Prrafodelista"/>
        <w:numPr>
          <w:ilvl w:val="0"/>
          <w:numId w:val="4"/>
        </w:numPr>
        <w:jc w:val="both"/>
        <w:rPr>
          <w:rFonts w:ascii="Cambria" w:hAnsi="Cambria"/>
          <w:b/>
        </w:rPr>
      </w:pPr>
      <w:r>
        <w:rPr>
          <w:rFonts w:ascii="Cambria" w:hAnsi="Cambria"/>
        </w:rPr>
        <w:t>Designación</w:t>
      </w:r>
      <w:r w:rsidRPr="00D03131">
        <w:rPr>
          <w:rFonts w:ascii="Cambria" w:hAnsi="Cambria"/>
        </w:rPr>
        <w:t xml:space="preserve"> de </w:t>
      </w:r>
      <w:r>
        <w:rPr>
          <w:rFonts w:ascii="Cambria" w:hAnsi="Cambria"/>
        </w:rPr>
        <w:t>la cuenta bancaria autorizada para el cobro del canon</w:t>
      </w:r>
      <w:r w:rsidRPr="00D03131">
        <w:rPr>
          <w:rFonts w:ascii="Cambria" w:hAnsi="Cambria"/>
        </w:rPr>
        <w:t xml:space="preserve"> de los sujetos inscritos ante la SUGEF</w:t>
      </w:r>
      <w:r>
        <w:rPr>
          <w:rFonts w:ascii="Cambria" w:hAnsi="Cambria"/>
        </w:rPr>
        <w:t xml:space="preserve">, </w:t>
      </w:r>
      <w:r w:rsidRPr="00D03131">
        <w:rPr>
          <w:rFonts w:ascii="Cambria" w:hAnsi="Cambria"/>
        </w:rPr>
        <w:t>por realizar alguna de las actividades descritas en los artículos 15 y 15 bis de la Ley 7786.</w:t>
      </w:r>
      <w:r w:rsidRPr="00D03131">
        <w:rPr>
          <w:rFonts w:ascii="Cambria" w:hAnsi="Cambria"/>
          <w:b/>
        </w:rPr>
        <w:t xml:space="preserve"> </w:t>
      </w:r>
    </w:p>
    <w:p w:rsidR="00F318B8" w:rsidP="00F318B8" w:rsidRDefault="00F318B8" w14:paraId="08AF997F" w14:textId="77777777">
      <w:pPr>
        <w:rPr>
          <w:sz w:val="24"/>
          <w:lang w:val="es-CR"/>
        </w:rPr>
      </w:pPr>
    </w:p>
    <w:p w:rsidRPr="00D03131" w:rsidR="00F318B8" w:rsidP="00F318B8" w:rsidRDefault="00F318B8" w14:paraId="53A05C3A" w14:textId="77777777">
      <w:pPr>
        <w:rPr>
          <w:sz w:val="24"/>
          <w:lang w:val="es-CR"/>
        </w:rPr>
      </w:pPr>
      <w:r w:rsidRPr="00D03131">
        <w:rPr>
          <w:sz w:val="24"/>
          <w:lang w:val="es-CR"/>
        </w:rPr>
        <w:t>El Despacho de la Superintendencia General de Entidades Financieras (SUGEF), con fundamento en las atribuciones que le confiere el artículo 131 de la Ley Orgánica del Banco Central de Costa Rica, así como los artículos 15 y 15 bis de la Ley 7786</w:t>
      </w:r>
      <w:r>
        <w:rPr>
          <w:sz w:val="24"/>
          <w:lang w:val="es-CR"/>
        </w:rPr>
        <w:t xml:space="preserve"> y la </w:t>
      </w:r>
      <w:r w:rsidRPr="00840C94">
        <w:rPr>
          <w:sz w:val="24"/>
        </w:rPr>
        <w:t>Ley Reguladora del</w:t>
      </w:r>
      <w:r w:rsidRPr="00840C94">
        <w:t xml:space="preserve"> </w:t>
      </w:r>
      <w:r w:rsidRPr="00840C94">
        <w:rPr>
          <w:sz w:val="24"/>
        </w:rPr>
        <w:t>Mercado de Valores</w:t>
      </w:r>
      <w:r w:rsidRPr="00D03131">
        <w:rPr>
          <w:sz w:val="24"/>
          <w:lang w:val="es-CR"/>
        </w:rPr>
        <w:t xml:space="preserve">, </w:t>
      </w:r>
      <w:r>
        <w:rPr>
          <w:sz w:val="24"/>
          <w:lang w:val="es-CR"/>
        </w:rPr>
        <w:t>comunica:</w:t>
      </w:r>
    </w:p>
    <w:p w:rsidR="00F318B8" w:rsidP="00F318B8" w:rsidRDefault="00F318B8" w14:paraId="49FEF4A9" w14:textId="77777777">
      <w:pPr>
        <w:rPr>
          <w:sz w:val="24"/>
          <w:lang w:val="es-CR"/>
        </w:rPr>
      </w:pPr>
    </w:p>
    <w:p w:rsidRPr="00B64CD7" w:rsidR="00F318B8" w:rsidP="00F318B8" w:rsidRDefault="00F318B8" w14:paraId="03E50619" w14:textId="77777777">
      <w:pPr>
        <w:rPr>
          <w:b/>
          <w:sz w:val="24"/>
        </w:rPr>
      </w:pPr>
      <w:r w:rsidRPr="00B64CD7">
        <w:rPr>
          <w:b/>
          <w:sz w:val="24"/>
        </w:rPr>
        <w:t>Considerando:</w:t>
      </w:r>
    </w:p>
    <w:p w:rsidRPr="009A35CE" w:rsidR="00F318B8" w:rsidP="00F318B8" w:rsidRDefault="00F318B8" w14:paraId="0427B012" w14:textId="77777777"/>
    <w:p w:rsidRPr="00B64CD7" w:rsidR="00F318B8" w:rsidP="00F318B8" w:rsidRDefault="00F318B8" w14:paraId="019A64DB" w14:textId="213AD3C7">
      <w:pPr>
        <w:pStyle w:val="Prrafodelista"/>
        <w:numPr>
          <w:ilvl w:val="0"/>
          <w:numId w:val="6"/>
        </w:numPr>
        <w:contextualSpacing/>
        <w:jc w:val="both"/>
        <w:rPr>
          <w:rFonts w:ascii="Cambria" w:hAnsi="Cambria"/>
          <w:b/>
          <w:bCs/>
          <w:i/>
          <w:iCs/>
        </w:rPr>
      </w:pPr>
      <w:r w:rsidRPr="001E25D6">
        <w:rPr>
          <w:rFonts w:ascii="Cambria" w:hAnsi="Cambria"/>
          <w:bCs/>
          <w:iCs/>
        </w:rPr>
        <w:t>Que el Ministerio de Hacienda, como rector del Sistema de Administración Financiera del Estado y de la política fiscal, tiene a su cargo la dirección, estudio y despacho de todos los asuntos relacionados con la Hacienda Pública, garantizando que la asignación de los recursos del gasto público responda siempre a criterios de eficiencia, eficacia, calidad y transparencia.</w:t>
      </w:r>
    </w:p>
    <w:p w:rsidRPr="001E25D6" w:rsidR="00B64CD7" w:rsidP="00B64CD7" w:rsidRDefault="00B64CD7" w14:paraId="68DB37EE" w14:textId="77777777">
      <w:pPr>
        <w:pStyle w:val="Prrafodelista"/>
        <w:ind w:left="570"/>
        <w:contextualSpacing/>
        <w:jc w:val="both"/>
        <w:rPr>
          <w:rFonts w:ascii="Cambria" w:hAnsi="Cambria"/>
          <w:b/>
          <w:bCs/>
          <w:i/>
          <w:iCs/>
        </w:rPr>
      </w:pPr>
    </w:p>
    <w:p w:rsidRPr="00B64CD7" w:rsidR="00B64CD7" w:rsidP="00B64CD7" w:rsidRDefault="00F318B8" w14:paraId="14B56FEF" w14:textId="47BBF71B">
      <w:pPr>
        <w:pStyle w:val="Prrafodelista"/>
        <w:numPr>
          <w:ilvl w:val="0"/>
          <w:numId w:val="6"/>
        </w:numPr>
        <w:spacing w:line="259" w:lineRule="auto"/>
        <w:ind w:left="573" w:hanging="573"/>
        <w:contextualSpacing/>
        <w:jc w:val="both"/>
        <w:rPr>
          <w:rFonts w:ascii="Cambria" w:hAnsi="Cambria"/>
          <w:b/>
          <w:bCs/>
          <w:i/>
          <w:iCs/>
        </w:rPr>
      </w:pPr>
      <w:r w:rsidRPr="001E25D6">
        <w:rPr>
          <w:rFonts w:ascii="Cambria" w:hAnsi="Cambria"/>
          <w:bCs/>
          <w:iCs/>
        </w:rPr>
        <w:t xml:space="preserve">Que los artículos 174 y 175 de la </w:t>
      </w:r>
      <w:r w:rsidRPr="003D7F10">
        <w:rPr>
          <w:rFonts w:ascii="Cambria" w:hAnsi="Cambria"/>
          <w:bCs/>
          <w:i/>
        </w:rPr>
        <w:t>Ley Reguladora del Mercado de Valores, Ley 7732</w:t>
      </w:r>
      <w:r w:rsidRPr="001E25D6">
        <w:rPr>
          <w:rFonts w:ascii="Cambria" w:hAnsi="Cambria"/>
          <w:bCs/>
          <w:iCs/>
        </w:rPr>
        <w:t>, establecen que los sujetos fiscalizados deben aportar al presupuesto de la Superintendencia General de Entidades Financieras (</w:t>
      </w:r>
      <w:r>
        <w:rPr>
          <w:rFonts w:ascii="Cambria" w:hAnsi="Cambria"/>
          <w:bCs/>
          <w:iCs/>
        </w:rPr>
        <w:t>SUGEF</w:t>
      </w:r>
      <w:r w:rsidRPr="001E25D6">
        <w:rPr>
          <w:rFonts w:ascii="Cambria" w:hAnsi="Cambria"/>
          <w:bCs/>
          <w:iCs/>
        </w:rPr>
        <w:t>), la Superintendencia General de Valores (S</w:t>
      </w:r>
      <w:r>
        <w:rPr>
          <w:rFonts w:ascii="Cambria" w:hAnsi="Cambria"/>
          <w:bCs/>
          <w:iCs/>
        </w:rPr>
        <w:t>UGEVAL</w:t>
      </w:r>
      <w:r w:rsidRPr="001E25D6">
        <w:rPr>
          <w:rFonts w:ascii="Cambria" w:hAnsi="Cambria"/>
          <w:bCs/>
          <w:iCs/>
        </w:rPr>
        <w:t>), la Superintendencia de Pensiones (</w:t>
      </w:r>
      <w:r>
        <w:rPr>
          <w:rFonts w:ascii="Cambria" w:hAnsi="Cambria"/>
          <w:bCs/>
          <w:iCs/>
        </w:rPr>
        <w:t>SUPEN</w:t>
      </w:r>
      <w:r w:rsidRPr="001E25D6">
        <w:rPr>
          <w:rFonts w:ascii="Cambria" w:hAnsi="Cambria"/>
          <w:bCs/>
          <w:iCs/>
        </w:rPr>
        <w:t>) y la Superintendencia General de Seguros (</w:t>
      </w:r>
      <w:r>
        <w:rPr>
          <w:rFonts w:ascii="Cambria" w:hAnsi="Cambria"/>
          <w:bCs/>
          <w:iCs/>
        </w:rPr>
        <w:t>SUGESE</w:t>
      </w:r>
      <w:r w:rsidRPr="001E25D6">
        <w:rPr>
          <w:rFonts w:ascii="Cambria" w:hAnsi="Cambria"/>
          <w:bCs/>
          <w:iCs/>
        </w:rPr>
        <w:t>), mediante contribuciones obligatorias.</w:t>
      </w:r>
    </w:p>
    <w:p w:rsidRPr="00B64CD7" w:rsidR="00B64CD7" w:rsidP="00B64CD7" w:rsidRDefault="00B64CD7" w14:paraId="2452B9FA" w14:textId="77777777">
      <w:pPr>
        <w:spacing w:line="259" w:lineRule="auto"/>
        <w:contextualSpacing/>
        <w:rPr>
          <w:b/>
          <w:bCs/>
          <w:i/>
          <w:iCs/>
        </w:rPr>
      </w:pPr>
    </w:p>
    <w:p w:rsidR="00F318B8" w:rsidP="00B64CD7" w:rsidRDefault="00F318B8" w14:paraId="13B61D55" w14:textId="77777777">
      <w:pPr>
        <w:pStyle w:val="Prrafodelista"/>
        <w:numPr>
          <w:ilvl w:val="0"/>
          <w:numId w:val="6"/>
        </w:numPr>
        <w:spacing w:line="259" w:lineRule="auto"/>
        <w:ind w:left="573" w:hanging="573"/>
        <w:contextualSpacing/>
        <w:jc w:val="both"/>
        <w:rPr>
          <w:rFonts w:ascii="Cambria" w:hAnsi="Cambria"/>
          <w:bCs/>
          <w:iCs/>
        </w:rPr>
      </w:pPr>
      <w:bookmarkStart w:name="_Hlk86242332" w:id="0"/>
      <w:r>
        <w:rPr>
          <w:rFonts w:ascii="Cambria" w:hAnsi="Cambria"/>
        </w:rPr>
        <w:t>Que d</w:t>
      </w:r>
      <w:r w:rsidRPr="001E25D6">
        <w:rPr>
          <w:rFonts w:ascii="Cambria" w:hAnsi="Cambria"/>
        </w:rPr>
        <w:t xml:space="preserve">e acuerdo con lo dispuesto en el Transitorio II de la </w:t>
      </w:r>
      <w:r w:rsidRPr="001E25D6">
        <w:rPr>
          <w:rFonts w:ascii="Cambria" w:hAnsi="Cambria"/>
          <w:bCs/>
          <w:iCs/>
        </w:rPr>
        <w:t xml:space="preserve">Ley 9746, que reforma la Ley 7732, </w:t>
      </w:r>
      <w:r>
        <w:rPr>
          <w:rFonts w:ascii="Cambria" w:hAnsi="Cambria"/>
          <w:bCs/>
          <w:iCs/>
        </w:rPr>
        <w:t>s</w:t>
      </w:r>
      <w:r w:rsidRPr="001E25D6">
        <w:rPr>
          <w:rFonts w:ascii="Cambria" w:hAnsi="Cambria"/>
          <w:bCs/>
          <w:iCs/>
        </w:rPr>
        <w:t xml:space="preserve">e incorpora una gradualidad para incrementar el porcentaje de contribución de las entidades supervisadas al financiamiento del presupuesto de </w:t>
      </w:r>
      <w:r w:rsidRPr="001E25D6">
        <w:rPr>
          <w:rFonts w:ascii="Cambria" w:hAnsi="Cambria"/>
          <w:bCs/>
          <w:iCs/>
        </w:rPr>
        <w:lastRenderedPageBreak/>
        <w:t xml:space="preserve">la </w:t>
      </w:r>
      <w:r>
        <w:rPr>
          <w:rFonts w:ascii="Cambria" w:hAnsi="Cambria"/>
          <w:bCs/>
          <w:iCs/>
        </w:rPr>
        <w:t>SUGEF</w:t>
      </w:r>
      <w:r w:rsidRPr="001E25D6">
        <w:rPr>
          <w:rFonts w:ascii="Cambria" w:hAnsi="Cambria"/>
          <w:bCs/>
          <w:iCs/>
        </w:rPr>
        <w:t>, el cual pasa de un 20% a un 50% a razón de incrementos graduales anuales, manteniendo en un 20% la contribución de los costos totales para los años del 2020 al 2023, de acuerdo con el siguiente cuadro:</w:t>
      </w:r>
    </w:p>
    <w:p w:rsidRPr="00BC0DF2" w:rsidR="00F318B8" w:rsidP="00F318B8" w:rsidRDefault="00F318B8" w14:paraId="4C8FF32C" w14:textId="77777777">
      <w:pPr>
        <w:spacing w:after="160" w:line="259" w:lineRule="auto"/>
        <w:contextualSpacing/>
        <w:rPr>
          <w:bCs/>
          <w:iCs/>
        </w:rPr>
      </w:pPr>
    </w:p>
    <w:tbl>
      <w:tblPr>
        <w:tblW w:w="0" w:type="auto"/>
        <w:tblInd w:w="1835" w:type="dxa"/>
        <w:tblLayout w:type="fixed"/>
        <w:tblCellMar>
          <w:left w:w="70" w:type="dxa"/>
          <w:right w:w="70" w:type="dxa"/>
        </w:tblCellMar>
        <w:tblLook w:val="0000" w:firstRow="0" w:lastRow="0" w:firstColumn="0" w:lastColumn="0" w:noHBand="0" w:noVBand="0"/>
      </w:tblPr>
      <w:tblGrid>
        <w:gridCol w:w="1560"/>
        <w:gridCol w:w="1417"/>
        <w:gridCol w:w="2126"/>
      </w:tblGrid>
      <w:tr w:rsidRPr="001E25D6" w:rsidR="00F318B8" w:rsidTr="00C22F8B" w14:paraId="062B644F" w14:textId="77777777">
        <w:trPr>
          <w:trHeight w:val="300"/>
          <w:tblHeader/>
        </w:trPr>
        <w:tc>
          <w:tcPr>
            <w:tcW w:w="5103" w:type="dxa"/>
            <w:gridSpan w:val="3"/>
            <w:tcBorders>
              <w:top w:val="single" w:color="auto" w:sz="6" w:space="0"/>
              <w:left w:val="single" w:color="auto" w:sz="6" w:space="0"/>
              <w:bottom w:val="single" w:color="auto" w:sz="6" w:space="0"/>
              <w:right w:val="single" w:color="auto" w:sz="6" w:space="0"/>
            </w:tcBorders>
            <w:shd w:val="solid" w:color="C0C0C0" w:fill="auto"/>
          </w:tcPr>
          <w:p w:rsidRPr="001E25D6" w:rsidR="00F318B8" w:rsidP="00C22F8B" w:rsidRDefault="00F318B8" w14:paraId="4970C466" w14:textId="77777777">
            <w:pPr>
              <w:autoSpaceDE w:val="0"/>
              <w:autoSpaceDN w:val="0"/>
              <w:adjustRightInd w:val="0"/>
              <w:spacing w:line="240" w:lineRule="auto"/>
              <w:jc w:val="center"/>
              <w:rPr>
                <w:rFonts w:cs="Arial"/>
                <w:b/>
                <w:bCs/>
                <w:color w:val="000000"/>
              </w:rPr>
            </w:pPr>
            <w:r w:rsidRPr="001E25D6">
              <w:rPr>
                <w:rFonts w:cs="Arial"/>
                <w:b/>
                <w:bCs/>
                <w:color w:val="000000"/>
              </w:rPr>
              <w:t>Gradualidad del incremento</w:t>
            </w:r>
          </w:p>
        </w:tc>
      </w:tr>
      <w:tr w:rsidRPr="001E25D6" w:rsidR="00F318B8" w:rsidTr="00C22F8B" w14:paraId="0342F9B6" w14:textId="77777777">
        <w:trPr>
          <w:trHeight w:val="348"/>
        </w:trPr>
        <w:tc>
          <w:tcPr>
            <w:tcW w:w="1560"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49B3E9B7" w14:textId="77777777">
            <w:pPr>
              <w:autoSpaceDE w:val="0"/>
              <w:autoSpaceDN w:val="0"/>
              <w:adjustRightInd w:val="0"/>
              <w:spacing w:line="240" w:lineRule="auto"/>
              <w:jc w:val="center"/>
              <w:rPr>
                <w:rFonts w:cs="Arial"/>
                <w:b/>
                <w:bCs/>
                <w:color w:val="000000"/>
              </w:rPr>
            </w:pPr>
            <w:r w:rsidRPr="001E25D6">
              <w:rPr>
                <w:rFonts w:cs="Arial"/>
                <w:b/>
                <w:bCs/>
                <w:color w:val="000000"/>
              </w:rPr>
              <w:t>Año</w:t>
            </w:r>
          </w:p>
        </w:tc>
        <w:tc>
          <w:tcPr>
            <w:tcW w:w="1417"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1619E21B" w14:textId="77777777">
            <w:pPr>
              <w:autoSpaceDE w:val="0"/>
              <w:autoSpaceDN w:val="0"/>
              <w:adjustRightInd w:val="0"/>
              <w:spacing w:line="240" w:lineRule="auto"/>
              <w:jc w:val="center"/>
              <w:rPr>
                <w:rFonts w:cs="Arial"/>
                <w:b/>
                <w:bCs/>
                <w:color w:val="000000"/>
              </w:rPr>
            </w:pPr>
            <w:r w:rsidRPr="001E25D6">
              <w:rPr>
                <w:rFonts w:cs="Arial"/>
                <w:b/>
                <w:bCs/>
                <w:color w:val="000000"/>
              </w:rPr>
              <w:t>Aumento</w:t>
            </w:r>
          </w:p>
        </w:tc>
        <w:tc>
          <w:tcPr>
            <w:tcW w:w="2126"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7A03EA5D" w14:textId="77777777">
            <w:pPr>
              <w:autoSpaceDE w:val="0"/>
              <w:autoSpaceDN w:val="0"/>
              <w:adjustRightInd w:val="0"/>
              <w:spacing w:line="240" w:lineRule="auto"/>
              <w:jc w:val="center"/>
              <w:rPr>
                <w:rFonts w:cs="Arial"/>
                <w:b/>
                <w:bCs/>
                <w:color w:val="000000"/>
              </w:rPr>
            </w:pPr>
            <w:r w:rsidRPr="001E25D6">
              <w:rPr>
                <w:rFonts w:cs="Arial"/>
                <w:b/>
                <w:bCs/>
                <w:color w:val="000000"/>
              </w:rPr>
              <w:t>Porcentaje a cobrar</w:t>
            </w:r>
          </w:p>
        </w:tc>
      </w:tr>
      <w:tr w:rsidRPr="001E25D6" w:rsidR="00F318B8" w:rsidTr="00C22F8B" w14:paraId="643A68F5" w14:textId="77777777">
        <w:trPr>
          <w:trHeight w:val="310"/>
        </w:trPr>
        <w:tc>
          <w:tcPr>
            <w:tcW w:w="1560"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3B725B69" w14:textId="77777777">
            <w:pPr>
              <w:autoSpaceDE w:val="0"/>
              <w:autoSpaceDN w:val="0"/>
              <w:adjustRightInd w:val="0"/>
              <w:spacing w:line="240" w:lineRule="auto"/>
              <w:jc w:val="center"/>
              <w:rPr>
                <w:rFonts w:cs="Arial"/>
                <w:color w:val="000000"/>
              </w:rPr>
            </w:pPr>
            <w:r w:rsidRPr="001E25D6">
              <w:rPr>
                <w:rFonts w:cs="Arial"/>
                <w:color w:val="000000"/>
              </w:rPr>
              <w:t>2020 (año 1)</w:t>
            </w:r>
          </w:p>
        </w:tc>
        <w:tc>
          <w:tcPr>
            <w:tcW w:w="1417"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2D29B000" w14:textId="77777777">
            <w:pPr>
              <w:autoSpaceDE w:val="0"/>
              <w:autoSpaceDN w:val="0"/>
              <w:adjustRightInd w:val="0"/>
              <w:spacing w:line="240" w:lineRule="auto"/>
              <w:jc w:val="center"/>
              <w:rPr>
                <w:rFonts w:cs="Arial"/>
                <w:color w:val="000000"/>
              </w:rPr>
            </w:pPr>
            <w:r w:rsidRPr="001E25D6">
              <w:rPr>
                <w:rFonts w:cs="Arial"/>
                <w:color w:val="000000"/>
              </w:rPr>
              <w:t>0,00%</w:t>
            </w:r>
          </w:p>
        </w:tc>
        <w:tc>
          <w:tcPr>
            <w:tcW w:w="2126"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3351CD36" w14:textId="77777777">
            <w:pPr>
              <w:autoSpaceDE w:val="0"/>
              <w:autoSpaceDN w:val="0"/>
              <w:adjustRightInd w:val="0"/>
              <w:spacing w:line="240" w:lineRule="auto"/>
              <w:jc w:val="center"/>
              <w:rPr>
                <w:rFonts w:cs="Arial"/>
                <w:color w:val="000000"/>
              </w:rPr>
            </w:pPr>
            <w:r w:rsidRPr="001E25D6">
              <w:rPr>
                <w:rFonts w:cs="Arial"/>
                <w:color w:val="000000"/>
              </w:rPr>
              <w:t>20,00%</w:t>
            </w:r>
          </w:p>
        </w:tc>
      </w:tr>
      <w:tr w:rsidRPr="001E25D6" w:rsidR="00F318B8" w:rsidTr="00C22F8B" w14:paraId="716977D6" w14:textId="77777777">
        <w:trPr>
          <w:trHeight w:val="310"/>
        </w:trPr>
        <w:tc>
          <w:tcPr>
            <w:tcW w:w="1560"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2FD95EC3" w14:textId="77777777">
            <w:pPr>
              <w:autoSpaceDE w:val="0"/>
              <w:autoSpaceDN w:val="0"/>
              <w:adjustRightInd w:val="0"/>
              <w:spacing w:line="240" w:lineRule="auto"/>
              <w:jc w:val="center"/>
              <w:rPr>
                <w:rFonts w:cs="Arial"/>
                <w:color w:val="000000"/>
              </w:rPr>
            </w:pPr>
            <w:r w:rsidRPr="001E25D6">
              <w:rPr>
                <w:rFonts w:cs="Arial"/>
                <w:color w:val="000000"/>
              </w:rPr>
              <w:t>2021 (año 2)</w:t>
            </w:r>
          </w:p>
        </w:tc>
        <w:tc>
          <w:tcPr>
            <w:tcW w:w="1417"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41153DED" w14:textId="77777777">
            <w:pPr>
              <w:autoSpaceDE w:val="0"/>
              <w:autoSpaceDN w:val="0"/>
              <w:adjustRightInd w:val="0"/>
              <w:spacing w:line="240" w:lineRule="auto"/>
              <w:jc w:val="center"/>
              <w:rPr>
                <w:rFonts w:cs="Arial"/>
                <w:color w:val="000000"/>
              </w:rPr>
            </w:pPr>
            <w:r w:rsidRPr="001E25D6">
              <w:rPr>
                <w:rFonts w:cs="Arial"/>
                <w:color w:val="000000"/>
              </w:rPr>
              <w:t>0,00%</w:t>
            </w:r>
          </w:p>
        </w:tc>
        <w:tc>
          <w:tcPr>
            <w:tcW w:w="2126"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66F573D4" w14:textId="77777777">
            <w:pPr>
              <w:autoSpaceDE w:val="0"/>
              <w:autoSpaceDN w:val="0"/>
              <w:adjustRightInd w:val="0"/>
              <w:spacing w:line="240" w:lineRule="auto"/>
              <w:jc w:val="center"/>
              <w:rPr>
                <w:rFonts w:cs="Arial"/>
                <w:color w:val="000000"/>
              </w:rPr>
            </w:pPr>
            <w:r w:rsidRPr="001E25D6">
              <w:rPr>
                <w:rFonts w:cs="Arial"/>
                <w:color w:val="000000"/>
              </w:rPr>
              <w:t>20,00%</w:t>
            </w:r>
          </w:p>
        </w:tc>
      </w:tr>
      <w:tr w:rsidRPr="001E25D6" w:rsidR="00F318B8" w:rsidTr="00C22F8B" w14:paraId="63952FB3" w14:textId="77777777">
        <w:trPr>
          <w:trHeight w:val="310"/>
        </w:trPr>
        <w:tc>
          <w:tcPr>
            <w:tcW w:w="1560"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76273530" w14:textId="77777777">
            <w:pPr>
              <w:autoSpaceDE w:val="0"/>
              <w:autoSpaceDN w:val="0"/>
              <w:adjustRightInd w:val="0"/>
              <w:spacing w:line="240" w:lineRule="auto"/>
              <w:jc w:val="center"/>
              <w:rPr>
                <w:rFonts w:cs="Arial"/>
                <w:color w:val="000000"/>
              </w:rPr>
            </w:pPr>
            <w:r w:rsidRPr="001E25D6">
              <w:rPr>
                <w:rFonts w:cs="Arial"/>
                <w:color w:val="000000"/>
              </w:rPr>
              <w:t>2022 (año 3)</w:t>
            </w:r>
          </w:p>
        </w:tc>
        <w:tc>
          <w:tcPr>
            <w:tcW w:w="1417"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59307ABB" w14:textId="77777777">
            <w:pPr>
              <w:autoSpaceDE w:val="0"/>
              <w:autoSpaceDN w:val="0"/>
              <w:adjustRightInd w:val="0"/>
              <w:spacing w:line="240" w:lineRule="auto"/>
              <w:jc w:val="center"/>
              <w:rPr>
                <w:rFonts w:cs="Arial"/>
                <w:color w:val="000000"/>
              </w:rPr>
            </w:pPr>
            <w:r w:rsidRPr="001E25D6">
              <w:rPr>
                <w:rFonts w:cs="Arial"/>
                <w:color w:val="000000"/>
              </w:rPr>
              <w:t>0,00%</w:t>
            </w:r>
          </w:p>
        </w:tc>
        <w:tc>
          <w:tcPr>
            <w:tcW w:w="2126"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33E1415C" w14:textId="77777777">
            <w:pPr>
              <w:autoSpaceDE w:val="0"/>
              <w:autoSpaceDN w:val="0"/>
              <w:adjustRightInd w:val="0"/>
              <w:spacing w:line="240" w:lineRule="auto"/>
              <w:jc w:val="center"/>
              <w:rPr>
                <w:rFonts w:cs="Arial"/>
                <w:color w:val="000000"/>
              </w:rPr>
            </w:pPr>
            <w:r w:rsidRPr="001E25D6">
              <w:rPr>
                <w:rFonts w:cs="Arial"/>
                <w:color w:val="000000"/>
              </w:rPr>
              <w:t>20,00%</w:t>
            </w:r>
          </w:p>
        </w:tc>
      </w:tr>
      <w:tr w:rsidRPr="001E25D6" w:rsidR="00F318B8" w:rsidTr="00C22F8B" w14:paraId="330ECDDA" w14:textId="77777777">
        <w:trPr>
          <w:trHeight w:val="310"/>
        </w:trPr>
        <w:tc>
          <w:tcPr>
            <w:tcW w:w="1560"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6D53D897" w14:textId="77777777">
            <w:pPr>
              <w:autoSpaceDE w:val="0"/>
              <w:autoSpaceDN w:val="0"/>
              <w:adjustRightInd w:val="0"/>
              <w:spacing w:line="240" w:lineRule="auto"/>
              <w:jc w:val="center"/>
              <w:rPr>
                <w:rFonts w:cs="Arial"/>
                <w:color w:val="000000"/>
              </w:rPr>
            </w:pPr>
            <w:r w:rsidRPr="001E25D6">
              <w:rPr>
                <w:rFonts w:cs="Arial"/>
                <w:color w:val="000000"/>
              </w:rPr>
              <w:t>2023 (año 4)</w:t>
            </w:r>
          </w:p>
        </w:tc>
        <w:tc>
          <w:tcPr>
            <w:tcW w:w="1417"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44A90EA5" w14:textId="77777777">
            <w:pPr>
              <w:autoSpaceDE w:val="0"/>
              <w:autoSpaceDN w:val="0"/>
              <w:adjustRightInd w:val="0"/>
              <w:spacing w:line="240" w:lineRule="auto"/>
              <w:jc w:val="center"/>
              <w:rPr>
                <w:rFonts w:cs="Arial"/>
                <w:color w:val="000000"/>
              </w:rPr>
            </w:pPr>
            <w:r w:rsidRPr="001E25D6">
              <w:rPr>
                <w:rFonts w:cs="Arial"/>
                <w:color w:val="000000"/>
              </w:rPr>
              <w:t>0,00%</w:t>
            </w:r>
          </w:p>
        </w:tc>
        <w:tc>
          <w:tcPr>
            <w:tcW w:w="2126"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24A39819" w14:textId="77777777">
            <w:pPr>
              <w:autoSpaceDE w:val="0"/>
              <w:autoSpaceDN w:val="0"/>
              <w:adjustRightInd w:val="0"/>
              <w:spacing w:line="240" w:lineRule="auto"/>
              <w:jc w:val="center"/>
              <w:rPr>
                <w:rFonts w:cs="Arial"/>
                <w:color w:val="000000"/>
              </w:rPr>
            </w:pPr>
            <w:r w:rsidRPr="001E25D6">
              <w:rPr>
                <w:rFonts w:cs="Arial"/>
                <w:color w:val="000000"/>
              </w:rPr>
              <w:t>20,00%</w:t>
            </w:r>
          </w:p>
        </w:tc>
      </w:tr>
      <w:tr w:rsidRPr="001E25D6" w:rsidR="00F318B8" w:rsidTr="00C22F8B" w14:paraId="6939553D" w14:textId="77777777">
        <w:trPr>
          <w:trHeight w:val="310"/>
        </w:trPr>
        <w:tc>
          <w:tcPr>
            <w:tcW w:w="1560"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59FBE4B5" w14:textId="77777777">
            <w:pPr>
              <w:autoSpaceDE w:val="0"/>
              <w:autoSpaceDN w:val="0"/>
              <w:adjustRightInd w:val="0"/>
              <w:spacing w:line="240" w:lineRule="auto"/>
              <w:jc w:val="center"/>
              <w:rPr>
                <w:rFonts w:cs="Arial"/>
                <w:color w:val="000000"/>
              </w:rPr>
            </w:pPr>
            <w:r w:rsidRPr="001E25D6">
              <w:rPr>
                <w:rFonts w:cs="Arial"/>
                <w:color w:val="000000"/>
              </w:rPr>
              <w:t>2024 (año 5)</w:t>
            </w:r>
          </w:p>
        </w:tc>
        <w:tc>
          <w:tcPr>
            <w:tcW w:w="1417"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2F81DCA8" w14:textId="77777777">
            <w:pPr>
              <w:autoSpaceDE w:val="0"/>
              <w:autoSpaceDN w:val="0"/>
              <w:adjustRightInd w:val="0"/>
              <w:spacing w:line="240" w:lineRule="auto"/>
              <w:jc w:val="center"/>
              <w:rPr>
                <w:rFonts w:cs="Arial"/>
                <w:color w:val="000000"/>
              </w:rPr>
            </w:pPr>
            <w:r w:rsidRPr="001E25D6">
              <w:rPr>
                <w:rFonts w:cs="Arial"/>
                <w:color w:val="000000"/>
              </w:rPr>
              <w:t>7,50%</w:t>
            </w:r>
          </w:p>
        </w:tc>
        <w:tc>
          <w:tcPr>
            <w:tcW w:w="2126"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23FAD7E6" w14:textId="77777777">
            <w:pPr>
              <w:autoSpaceDE w:val="0"/>
              <w:autoSpaceDN w:val="0"/>
              <w:adjustRightInd w:val="0"/>
              <w:spacing w:line="240" w:lineRule="auto"/>
              <w:jc w:val="center"/>
              <w:rPr>
                <w:rFonts w:cs="Arial"/>
                <w:color w:val="000000"/>
              </w:rPr>
            </w:pPr>
            <w:r w:rsidRPr="001E25D6">
              <w:rPr>
                <w:rFonts w:cs="Arial"/>
                <w:color w:val="000000"/>
              </w:rPr>
              <w:t>27,50%</w:t>
            </w:r>
          </w:p>
        </w:tc>
      </w:tr>
      <w:tr w:rsidRPr="001E25D6" w:rsidR="00F318B8" w:rsidTr="00C22F8B" w14:paraId="59CE7B22" w14:textId="77777777">
        <w:trPr>
          <w:trHeight w:val="310"/>
        </w:trPr>
        <w:tc>
          <w:tcPr>
            <w:tcW w:w="1560"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5787F853" w14:textId="77777777">
            <w:pPr>
              <w:autoSpaceDE w:val="0"/>
              <w:autoSpaceDN w:val="0"/>
              <w:adjustRightInd w:val="0"/>
              <w:spacing w:line="240" w:lineRule="auto"/>
              <w:jc w:val="center"/>
              <w:rPr>
                <w:rFonts w:cs="Arial"/>
                <w:color w:val="000000"/>
              </w:rPr>
            </w:pPr>
            <w:r w:rsidRPr="001E25D6">
              <w:rPr>
                <w:rFonts w:cs="Arial"/>
                <w:color w:val="000000"/>
              </w:rPr>
              <w:t>2025 (año 6)</w:t>
            </w:r>
          </w:p>
        </w:tc>
        <w:tc>
          <w:tcPr>
            <w:tcW w:w="1417"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164E68F6" w14:textId="77777777">
            <w:pPr>
              <w:autoSpaceDE w:val="0"/>
              <w:autoSpaceDN w:val="0"/>
              <w:adjustRightInd w:val="0"/>
              <w:spacing w:line="240" w:lineRule="auto"/>
              <w:jc w:val="center"/>
              <w:rPr>
                <w:rFonts w:cs="Arial"/>
                <w:color w:val="000000"/>
              </w:rPr>
            </w:pPr>
            <w:r w:rsidRPr="001E25D6">
              <w:rPr>
                <w:rFonts w:cs="Arial"/>
                <w:color w:val="000000"/>
              </w:rPr>
              <w:t>7,50%</w:t>
            </w:r>
          </w:p>
        </w:tc>
        <w:tc>
          <w:tcPr>
            <w:tcW w:w="2126"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591D72EB" w14:textId="77777777">
            <w:pPr>
              <w:autoSpaceDE w:val="0"/>
              <w:autoSpaceDN w:val="0"/>
              <w:adjustRightInd w:val="0"/>
              <w:spacing w:line="240" w:lineRule="auto"/>
              <w:jc w:val="center"/>
              <w:rPr>
                <w:rFonts w:cs="Arial"/>
                <w:color w:val="000000"/>
              </w:rPr>
            </w:pPr>
            <w:r w:rsidRPr="001E25D6">
              <w:rPr>
                <w:rFonts w:cs="Arial"/>
                <w:color w:val="000000"/>
              </w:rPr>
              <w:t>35,00%</w:t>
            </w:r>
          </w:p>
        </w:tc>
      </w:tr>
      <w:tr w:rsidRPr="001E25D6" w:rsidR="00F318B8" w:rsidTr="00C22F8B" w14:paraId="1098C86B" w14:textId="77777777">
        <w:trPr>
          <w:trHeight w:val="310"/>
        </w:trPr>
        <w:tc>
          <w:tcPr>
            <w:tcW w:w="1560"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6156B86B" w14:textId="77777777">
            <w:pPr>
              <w:autoSpaceDE w:val="0"/>
              <w:autoSpaceDN w:val="0"/>
              <w:adjustRightInd w:val="0"/>
              <w:spacing w:line="240" w:lineRule="auto"/>
              <w:jc w:val="center"/>
              <w:rPr>
                <w:rFonts w:cs="Arial"/>
                <w:color w:val="000000"/>
              </w:rPr>
            </w:pPr>
            <w:r w:rsidRPr="001E25D6">
              <w:rPr>
                <w:rFonts w:cs="Arial"/>
                <w:color w:val="000000"/>
              </w:rPr>
              <w:t>2026 (año 7)</w:t>
            </w:r>
          </w:p>
        </w:tc>
        <w:tc>
          <w:tcPr>
            <w:tcW w:w="1417"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56EDBE61" w14:textId="77777777">
            <w:pPr>
              <w:autoSpaceDE w:val="0"/>
              <w:autoSpaceDN w:val="0"/>
              <w:adjustRightInd w:val="0"/>
              <w:spacing w:line="240" w:lineRule="auto"/>
              <w:jc w:val="center"/>
              <w:rPr>
                <w:rFonts w:cs="Arial"/>
                <w:color w:val="000000"/>
              </w:rPr>
            </w:pPr>
            <w:r w:rsidRPr="001E25D6">
              <w:rPr>
                <w:rFonts w:cs="Arial"/>
                <w:color w:val="000000"/>
              </w:rPr>
              <w:t>7,50%</w:t>
            </w:r>
          </w:p>
        </w:tc>
        <w:tc>
          <w:tcPr>
            <w:tcW w:w="2126"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79AD8373" w14:textId="77777777">
            <w:pPr>
              <w:autoSpaceDE w:val="0"/>
              <w:autoSpaceDN w:val="0"/>
              <w:adjustRightInd w:val="0"/>
              <w:spacing w:line="240" w:lineRule="auto"/>
              <w:jc w:val="center"/>
              <w:rPr>
                <w:rFonts w:cs="Arial"/>
                <w:color w:val="000000"/>
              </w:rPr>
            </w:pPr>
            <w:r w:rsidRPr="001E25D6">
              <w:rPr>
                <w:rFonts w:cs="Arial"/>
                <w:color w:val="000000"/>
              </w:rPr>
              <w:t>42,50%</w:t>
            </w:r>
          </w:p>
        </w:tc>
      </w:tr>
      <w:tr w:rsidRPr="001E25D6" w:rsidR="00F318B8" w:rsidTr="00C22F8B" w14:paraId="6EDD8BFE" w14:textId="77777777">
        <w:trPr>
          <w:trHeight w:val="310"/>
        </w:trPr>
        <w:tc>
          <w:tcPr>
            <w:tcW w:w="1560"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504D6B3D" w14:textId="77777777">
            <w:pPr>
              <w:autoSpaceDE w:val="0"/>
              <w:autoSpaceDN w:val="0"/>
              <w:adjustRightInd w:val="0"/>
              <w:spacing w:line="240" w:lineRule="auto"/>
              <w:jc w:val="center"/>
              <w:rPr>
                <w:rFonts w:cs="Arial"/>
                <w:color w:val="000000"/>
              </w:rPr>
            </w:pPr>
            <w:r w:rsidRPr="001E25D6">
              <w:rPr>
                <w:rFonts w:cs="Arial"/>
                <w:color w:val="000000"/>
              </w:rPr>
              <w:t>2027 (año 8)</w:t>
            </w:r>
          </w:p>
        </w:tc>
        <w:tc>
          <w:tcPr>
            <w:tcW w:w="1417"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4517F01B" w14:textId="77777777">
            <w:pPr>
              <w:autoSpaceDE w:val="0"/>
              <w:autoSpaceDN w:val="0"/>
              <w:adjustRightInd w:val="0"/>
              <w:spacing w:line="240" w:lineRule="auto"/>
              <w:jc w:val="center"/>
              <w:rPr>
                <w:rFonts w:cs="Arial"/>
                <w:color w:val="000000"/>
              </w:rPr>
            </w:pPr>
            <w:r w:rsidRPr="001E25D6">
              <w:rPr>
                <w:rFonts w:cs="Arial"/>
                <w:color w:val="000000"/>
              </w:rPr>
              <w:t>7,50%</w:t>
            </w:r>
          </w:p>
        </w:tc>
        <w:tc>
          <w:tcPr>
            <w:tcW w:w="2126" w:type="dxa"/>
            <w:tcBorders>
              <w:top w:val="single" w:color="auto" w:sz="6" w:space="0"/>
              <w:left w:val="single" w:color="auto" w:sz="6" w:space="0"/>
              <w:bottom w:val="single" w:color="auto" w:sz="6" w:space="0"/>
              <w:right w:val="single" w:color="auto" w:sz="6" w:space="0"/>
            </w:tcBorders>
          </w:tcPr>
          <w:p w:rsidRPr="001E25D6" w:rsidR="00F318B8" w:rsidP="00C22F8B" w:rsidRDefault="00F318B8" w14:paraId="426319B2" w14:textId="77777777">
            <w:pPr>
              <w:autoSpaceDE w:val="0"/>
              <w:autoSpaceDN w:val="0"/>
              <w:adjustRightInd w:val="0"/>
              <w:spacing w:line="240" w:lineRule="auto"/>
              <w:jc w:val="center"/>
              <w:rPr>
                <w:rFonts w:cs="Arial"/>
                <w:color w:val="000000"/>
              </w:rPr>
            </w:pPr>
            <w:r w:rsidRPr="001E25D6">
              <w:rPr>
                <w:rFonts w:cs="Arial"/>
                <w:color w:val="000000"/>
              </w:rPr>
              <w:t>50,00%</w:t>
            </w:r>
          </w:p>
        </w:tc>
      </w:tr>
      <w:bookmarkEnd w:id="0"/>
    </w:tbl>
    <w:p w:rsidR="00F318B8" w:rsidP="00F318B8" w:rsidRDefault="00F318B8" w14:paraId="4450704E" w14:textId="77777777">
      <w:pPr>
        <w:pStyle w:val="Prrafodelista"/>
        <w:spacing w:after="160" w:line="259" w:lineRule="auto"/>
        <w:ind w:left="570"/>
        <w:contextualSpacing/>
        <w:jc w:val="both"/>
        <w:rPr>
          <w:rFonts w:ascii="Cambria" w:hAnsi="Cambria"/>
          <w:bCs/>
          <w:iCs/>
        </w:rPr>
      </w:pPr>
    </w:p>
    <w:p w:rsidR="00F318B8" w:rsidP="00F318B8" w:rsidRDefault="00F318B8" w14:paraId="5CF142DD" w14:textId="77777777">
      <w:pPr>
        <w:pStyle w:val="Prrafodelista"/>
        <w:numPr>
          <w:ilvl w:val="0"/>
          <w:numId w:val="6"/>
        </w:numPr>
        <w:spacing w:after="160" w:line="259" w:lineRule="auto"/>
        <w:contextualSpacing/>
        <w:jc w:val="both"/>
        <w:rPr>
          <w:rFonts w:ascii="Cambria" w:hAnsi="Cambria"/>
          <w:bCs/>
          <w:iCs/>
        </w:rPr>
      </w:pPr>
      <w:r w:rsidRPr="001E25D6">
        <w:rPr>
          <w:rFonts w:ascii="Cambria" w:hAnsi="Cambria"/>
          <w:bCs/>
          <w:iCs/>
        </w:rPr>
        <w:t xml:space="preserve">Que </w:t>
      </w:r>
      <w:r>
        <w:rPr>
          <w:rFonts w:ascii="Cambria" w:hAnsi="Cambria"/>
          <w:bCs/>
          <w:iCs/>
        </w:rPr>
        <w:t>los</w:t>
      </w:r>
      <w:r w:rsidRPr="001E25D6">
        <w:rPr>
          <w:rFonts w:ascii="Cambria" w:hAnsi="Cambria"/>
          <w:bCs/>
          <w:iCs/>
        </w:rPr>
        <w:t xml:space="preserve"> artículo</w:t>
      </w:r>
      <w:r>
        <w:rPr>
          <w:rFonts w:ascii="Cambria" w:hAnsi="Cambria"/>
          <w:bCs/>
          <w:iCs/>
        </w:rPr>
        <w:t>s</w:t>
      </w:r>
      <w:r w:rsidRPr="001E25D6">
        <w:rPr>
          <w:rFonts w:ascii="Cambria" w:hAnsi="Cambria"/>
          <w:bCs/>
          <w:iCs/>
        </w:rPr>
        <w:t xml:space="preserve"> 15 y 15 bis de la </w:t>
      </w:r>
      <w:r w:rsidRPr="003D7F10">
        <w:rPr>
          <w:rFonts w:ascii="Cambria" w:hAnsi="Cambria"/>
          <w:bCs/>
          <w:i/>
        </w:rPr>
        <w:t>Ley sobre estupefacientes, sustancias psicotrópicas, drogas de uso No Autorizado, actividades Conexas, legitimación de capitales y financiamiento al terrorismo, Ley 7786</w:t>
      </w:r>
      <w:r w:rsidRPr="001E25D6">
        <w:rPr>
          <w:rFonts w:ascii="Cambria" w:hAnsi="Cambria"/>
          <w:bCs/>
          <w:iCs/>
        </w:rPr>
        <w:t>, obliga</w:t>
      </w:r>
      <w:r>
        <w:rPr>
          <w:rFonts w:ascii="Cambria" w:hAnsi="Cambria"/>
          <w:bCs/>
          <w:iCs/>
        </w:rPr>
        <w:t>n</w:t>
      </w:r>
      <w:r w:rsidRPr="001E25D6">
        <w:rPr>
          <w:rFonts w:ascii="Cambria" w:hAnsi="Cambria"/>
          <w:bCs/>
          <w:iCs/>
        </w:rPr>
        <w:t xml:space="preserve"> a los sujetos que realizan alguna de las actividades descritas en esos artículos a inscribirse en la </w:t>
      </w:r>
      <w:r>
        <w:rPr>
          <w:rFonts w:ascii="Cambria" w:hAnsi="Cambria"/>
          <w:bCs/>
          <w:iCs/>
        </w:rPr>
        <w:t>SUGEF</w:t>
      </w:r>
      <w:r w:rsidRPr="001E25D6">
        <w:rPr>
          <w:rFonts w:ascii="Cambria" w:hAnsi="Cambria"/>
          <w:bCs/>
          <w:iCs/>
        </w:rPr>
        <w:t>.</w:t>
      </w:r>
    </w:p>
    <w:p w:rsidR="00F318B8" w:rsidP="00F318B8" w:rsidRDefault="00F318B8" w14:paraId="2E9F1305" w14:textId="77777777">
      <w:pPr>
        <w:pStyle w:val="Prrafodelista"/>
        <w:spacing w:after="160" w:line="259" w:lineRule="auto"/>
        <w:ind w:left="570"/>
        <w:contextualSpacing/>
        <w:jc w:val="both"/>
        <w:rPr>
          <w:rFonts w:ascii="Cambria" w:hAnsi="Cambria"/>
          <w:bCs/>
          <w:iCs/>
        </w:rPr>
      </w:pPr>
    </w:p>
    <w:p w:rsidRPr="00A36395" w:rsidR="00F318B8" w:rsidP="00F318B8" w:rsidRDefault="00F318B8" w14:paraId="27A96E86" w14:textId="77777777">
      <w:pPr>
        <w:pStyle w:val="Prrafodelista"/>
        <w:numPr>
          <w:ilvl w:val="0"/>
          <w:numId w:val="6"/>
        </w:numPr>
        <w:jc w:val="both"/>
        <w:rPr>
          <w:rFonts w:ascii="Cambria" w:hAnsi="Cambria"/>
          <w:bCs/>
          <w:iCs/>
        </w:rPr>
      </w:pPr>
      <w:r w:rsidRPr="00A77E0B">
        <w:rPr>
          <w:rFonts w:ascii="Cambria" w:hAnsi="Cambria"/>
          <w:bCs/>
          <w:iCs/>
        </w:rPr>
        <w:t>Que</w:t>
      </w:r>
      <w:r>
        <w:rPr>
          <w:rFonts w:ascii="Cambria" w:hAnsi="Cambria"/>
          <w:bCs/>
          <w:iCs/>
        </w:rPr>
        <w:t xml:space="preserve"> el</w:t>
      </w:r>
      <w:r w:rsidRPr="00A36395">
        <w:rPr>
          <w:rFonts w:ascii="Cambria" w:hAnsi="Cambria"/>
          <w:bCs/>
          <w:iCs/>
        </w:rPr>
        <w:t xml:space="preserve"> artículo 15 de la ley 7786 establece: Dichos sujetos obligados deberán mantener actualizada la información de registro y contribuirán</w:t>
      </w:r>
      <w:r>
        <w:rPr>
          <w:rFonts w:ascii="Cambria" w:hAnsi="Cambria"/>
          <w:bCs/>
          <w:iCs/>
        </w:rPr>
        <w:t xml:space="preserve"> </w:t>
      </w:r>
      <w:r w:rsidRPr="00A36395">
        <w:rPr>
          <w:rFonts w:ascii="Cambria" w:hAnsi="Cambria"/>
          <w:bCs/>
          <w:iCs/>
        </w:rPr>
        <w:t>de acuerdo con su</w:t>
      </w:r>
      <w:r>
        <w:rPr>
          <w:rFonts w:ascii="Cambria" w:hAnsi="Cambria"/>
          <w:bCs/>
          <w:iCs/>
        </w:rPr>
        <w:t xml:space="preserve"> </w:t>
      </w:r>
      <w:r w:rsidRPr="00A36395">
        <w:rPr>
          <w:rFonts w:ascii="Cambria" w:hAnsi="Cambria"/>
          <w:bCs/>
          <w:iCs/>
        </w:rPr>
        <w:t>estructura al financiamiento de los gastos efectivos en que incurra la</w:t>
      </w:r>
      <w:r>
        <w:rPr>
          <w:rFonts w:ascii="Cambria" w:hAnsi="Cambria"/>
          <w:bCs/>
          <w:iCs/>
        </w:rPr>
        <w:t xml:space="preserve"> </w:t>
      </w:r>
      <w:r w:rsidRPr="00A36395">
        <w:rPr>
          <w:rFonts w:ascii="Cambria" w:hAnsi="Cambria"/>
          <w:bCs/>
          <w:iCs/>
        </w:rPr>
        <w:t>Superintendencia en la labor supervisora, de conformidad con los parámetros</w:t>
      </w:r>
      <w:r>
        <w:rPr>
          <w:rFonts w:ascii="Cambria" w:hAnsi="Cambria"/>
          <w:bCs/>
          <w:iCs/>
        </w:rPr>
        <w:t xml:space="preserve"> </w:t>
      </w:r>
      <w:r w:rsidRPr="00A36395">
        <w:rPr>
          <w:rFonts w:ascii="Cambria" w:hAnsi="Cambria"/>
          <w:bCs/>
          <w:iCs/>
        </w:rPr>
        <w:t>dispuestos por los</w:t>
      </w:r>
      <w:r>
        <w:rPr>
          <w:rFonts w:ascii="Cambria" w:hAnsi="Cambria"/>
          <w:bCs/>
          <w:iCs/>
        </w:rPr>
        <w:t xml:space="preserve"> </w:t>
      </w:r>
      <w:r w:rsidRPr="00A36395">
        <w:rPr>
          <w:rFonts w:ascii="Cambria" w:hAnsi="Cambria"/>
          <w:bCs/>
          <w:iCs/>
        </w:rPr>
        <w:t>artículos 174 y 175 de la Ley 7732, Ley Reguladora del Mercado</w:t>
      </w:r>
      <w:r>
        <w:rPr>
          <w:rFonts w:ascii="Cambria" w:hAnsi="Cambria"/>
          <w:bCs/>
          <w:iCs/>
        </w:rPr>
        <w:t xml:space="preserve"> </w:t>
      </w:r>
      <w:r w:rsidRPr="00A36395">
        <w:rPr>
          <w:rFonts w:ascii="Cambria" w:hAnsi="Cambria"/>
          <w:bCs/>
          <w:iCs/>
        </w:rPr>
        <w:t>de Valores, de 17 de diciembre de</w:t>
      </w:r>
      <w:r>
        <w:rPr>
          <w:rFonts w:ascii="Cambria" w:hAnsi="Cambria"/>
          <w:bCs/>
          <w:iCs/>
        </w:rPr>
        <w:t xml:space="preserve"> </w:t>
      </w:r>
      <w:r w:rsidRPr="00A36395">
        <w:rPr>
          <w:rFonts w:ascii="Cambria" w:hAnsi="Cambria"/>
          <w:bCs/>
          <w:iCs/>
        </w:rPr>
        <w:t>1997, y sus reformas.</w:t>
      </w:r>
    </w:p>
    <w:p w:rsidRPr="001E25D6" w:rsidR="00F318B8" w:rsidP="00F318B8" w:rsidRDefault="00F318B8" w14:paraId="2A01DE00" w14:textId="77777777">
      <w:pPr>
        <w:pStyle w:val="Prrafodelista"/>
        <w:spacing w:after="160" w:line="259" w:lineRule="auto"/>
        <w:ind w:left="570"/>
        <w:contextualSpacing/>
        <w:jc w:val="both"/>
        <w:rPr>
          <w:rFonts w:ascii="Cambria" w:hAnsi="Cambria"/>
          <w:bCs/>
          <w:iCs/>
        </w:rPr>
      </w:pPr>
    </w:p>
    <w:p w:rsidRPr="00A36395" w:rsidR="00F318B8" w:rsidP="00F318B8" w:rsidRDefault="00F318B8" w14:paraId="24AE7F3E" w14:textId="77777777">
      <w:pPr>
        <w:pStyle w:val="Prrafodelista"/>
        <w:numPr>
          <w:ilvl w:val="0"/>
          <w:numId w:val="6"/>
        </w:numPr>
        <w:jc w:val="both"/>
        <w:rPr>
          <w:rFonts w:ascii="Cambria" w:hAnsi="Cambria"/>
          <w:bCs/>
          <w:iCs/>
        </w:rPr>
      </w:pPr>
      <w:r>
        <w:rPr>
          <w:rFonts w:ascii="Cambria" w:hAnsi="Cambria"/>
          <w:bCs/>
          <w:iCs/>
        </w:rPr>
        <w:t>Que e</w:t>
      </w:r>
      <w:r w:rsidRPr="00A36395">
        <w:rPr>
          <w:rFonts w:ascii="Cambria" w:hAnsi="Cambria"/>
          <w:bCs/>
          <w:iCs/>
        </w:rPr>
        <w:t>l artículo 15 bis de la ley 7786 establece</w:t>
      </w:r>
      <w:r>
        <w:rPr>
          <w:rFonts w:ascii="Cambria" w:hAnsi="Cambria"/>
          <w:bCs/>
          <w:iCs/>
        </w:rPr>
        <w:t xml:space="preserve"> que</w:t>
      </w:r>
      <w:r w:rsidRPr="00A36395">
        <w:rPr>
          <w:rFonts w:ascii="Cambria" w:hAnsi="Cambria"/>
          <w:bCs/>
          <w:iCs/>
        </w:rPr>
        <w:t xml:space="preserve">: </w:t>
      </w:r>
      <w:r w:rsidRPr="00EC49F8">
        <w:rPr>
          <w:rFonts w:ascii="Cambria" w:hAnsi="Cambria"/>
          <w:bCs/>
          <w:i/>
        </w:rPr>
        <w:t>“Los sujetos obligados en el presente artículo contribuirán de acuerdo con su estructura, la cantidad y el monto de sus transacciones al financiamiento de los gastos efectivos en que incurra la Superintendencia en la labor supervisora, de conformidad con los parámetros dispuestos por los</w:t>
      </w:r>
      <w:r>
        <w:rPr>
          <w:rFonts w:ascii="Cambria" w:hAnsi="Cambria"/>
          <w:bCs/>
          <w:i/>
        </w:rPr>
        <w:t xml:space="preserve"> </w:t>
      </w:r>
      <w:r w:rsidRPr="00EC49F8">
        <w:rPr>
          <w:rFonts w:ascii="Cambria" w:hAnsi="Cambria"/>
          <w:bCs/>
          <w:i/>
        </w:rPr>
        <w:t>artículos 174 y 175 de la Ley 7732, Ley Reguladora del Mercado de Valores, de 17 de diciembre de 1997, y sus reformas. Se exceptúan de lo anterior a los profesionales liberales, ya sea que actúen de forma individual o corporativa.”</w:t>
      </w:r>
    </w:p>
    <w:p w:rsidR="00F318B8" w:rsidP="00F318B8" w:rsidRDefault="00F318B8" w14:paraId="55542DD0" w14:textId="77777777">
      <w:pPr>
        <w:pStyle w:val="Prrafodelista"/>
        <w:jc w:val="both"/>
        <w:rPr>
          <w:rFonts w:ascii="Cambria" w:hAnsi="Cambria"/>
          <w:bCs/>
          <w:iCs/>
        </w:rPr>
      </w:pPr>
    </w:p>
    <w:p w:rsidRPr="00336821" w:rsidR="00F318B8" w:rsidP="00F318B8" w:rsidRDefault="00F318B8" w14:paraId="196E588F" w14:textId="77777777">
      <w:pPr>
        <w:pStyle w:val="Prrafodelista"/>
        <w:numPr>
          <w:ilvl w:val="0"/>
          <w:numId w:val="6"/>
        </w:numPr>
        <w:spacing w:after="160" w:line="259" w:lineRule="auto"/>
        <w:contextualSpacing/>
        <w:jc w:val="both"/>
        <w:rPr>
          <w:rFonts w:ascii="Cambria" w:hAnsi="Cambria"/>
          <w:b/>
          <w:bCs/>
          <w:i/>
          <w:iCs/>
        </w:rPr>
      </w:pPr>
      <w:r w:rsidRPr="001E25D6">
        <w:rPr>
          <w:rFonts w:ascii="Cambria" w:hAnsi="Cambria"/>
          <w:bCs/>
          <w:iCs/>
        </w:rPr>
        <w:t>Que mediante artículo 1</w:t>
      </w:r>
      <w:r>
        <w:rPr>
          <w:rFonts w:ascii="Cambria" w:hAnsi="Cambria"/>
          <w:bCs/>
          <w:iCs/>
        </w:rPr>
        <w:t xml:space="preserve">º </w:t>
      </w:r>
      <w:r w:rsidRPr="001E25D6">
        <w:rPr>
          <w:rFonts w:ascii="Cambria" w:hAnsi="Cambria"/>
          <w:bCs/>
          <w:iCs/>
        </w:rPr>
        <w:t xml:space="preserve">de la Ley 9746 del 16 de octubre de 2019, se reforma el artículo 175 de la Ley 7732, para establecer que los sujetos obligados por los artículos 15 y 15 bis de la Ley 7786 contribuirán con un canon al presupuesto de la </w:t>
      </w:r>
      <w:r>
        <w:rPr>
          <w:rFonts w:ascii="Cambria" w:hAnsi="Cambria"/>
          <w:bCs/>
          <w:iCs/>
        </w:rPr>
        <w:t>S</w:t>
      </w:r>
      <w:r w:rsidRPr="001E25D6">
        <w:rPr>
          <w:rFonts w:ascii="Cambria" w:hAnsi="Cambria"/>
          <w:bCs/>
          <w:iCs/>
        </w:rPr>
        <w:t>uperintendencia.</w:t>
      </w:r>
    </w:p>
    <w:p w:rsidRPr="00336821" w:rsidR="00F318B8" w:rsidP="00F318B8" w:rsidRDefault="00F318B8" w14:paraId="3948312E" w14:textId="77777777">
      <w:pPr>
        <w:pStyle w:val="Prrafodelista"/>
        <w:rPr>
          <w:rFonts w:ascii="Cambria" w:hAnsi="Cambria"/>
          <w:b/>
          <w:bCs/>
          <w:i/>
          <w:iCs/>
        </w:rPr>
      </w:pPr>
    </w:p>
    <w:p w:rsidRPr="00336821" w:rsidR="00F318B8" w:rsidP="00F318B8" w:rsidRDefault="00F318B8" w14:paraId="21937346" w14:textId="77777777">
      <w:pPr>
        <w:pStyle w:val="Prrafodelista"/>
        <w:numPr>
          <w:ilvl w:val="0"/>
          <w:numId w:val="6"/>
        </w:numPr>
        <w:spacing w:after="160" w:line="259" w:lineRule="auto"/>
        <w:contextualSpacing/>
        <w:jc w:val="both"/>
        <w:rPr>
          <w:rFonts w:ascii="Cambria" w:hAnsi="Cambria"/>
          <w:b/>
          <w:bCs/>
          <w:i/>
          <w:iCs/>
        </w:rPr>
      </w:pPr>
      <w:r w:rsidRPr="001E25D6">
        <w:rPr>
          <w:rFonts w:ascii="Cambria" w:hAnsi="Cambria"/>
          <w:bCs/>
          <w:iCs/>
        </w:rPr>
        <w:lastRenderedPageBreak/>
        <w:t xml:space="preserve">Que mediante </w:t>
      </w:r>
      <w:r>
        <w:rPr>
          <w:rFonts w:ascii="Cambria" w:hAnsi="Cambria"/>
          <w:bCs/>
          <w:iCs/>
        </w:rPr>
        <w:t xml:space="preserve">el </w:t>
      </w:r>
      <w:r w:rsidRPr="001E25D6">
        <w:rPr>
          <w:rFonts w:ascii="Cambria" w:hAnsi="Cambria"/>
          <w:bCs/>
          <w:iCs/>
        </w:rPr>
        <w:t>artículo 3 de la Ley 9746 se reforma el literal t) del artículo 171 de la Ley 7732, mediante el cual se dispone como una de las funciones del Conassif, establecer, vía reglamento, cánones o tarifas para trámites o servicios específicos, tales como los trámites de autorización, de conformidad con el ordenamiento jurídico. Los montos establecidos para estos cánones deberán reflejar el costo del servicio y serán transferidos al Banco Central de Costa Rica (BCCR).</w:t>
      </w:r>
    </w:p>
    <w:p w:rsidRPr="001E25D6" w:rsidR="00F318B8" w:rsidP="00F318B8" w:rsidRDefault="00F318B8" w14:paraId="30BA1BCC" w14:textId="77777777">
      <w:pPr>
        <w:pStyle w:val="Prrafodelista"/>
        <w:rPr>
          <w:rFonts w:ascii="Cambria" w:hAnsi="Cambria"/>
          <w:bCs/>
          <w:iCs/>
        </w:rPr>
      </w:pPr>
    </w:p>
    <w:p w:rsidRPr="00D350E8" w:rsidR="00F318B8" w:rsidP="00F318B8" w:rsidRDefault="00F318B8" w14:paraId="6EC93301" w14:textId="77777777">
      <w:pPr>
        <w:pStyle w:val="Prrafodelista"/>
        <w:numPr>
          <w:ilvl w:val="0"/>
          <w:numId w:val="6"/>
        </w:numPr>
        <w:spacing w:after="160" w:line="259" w:lineRule="auto"/>
        <w:contextualSpacing/>
        <w:jc w:val="both"/>
        <w:rPr>
          <w:rFonts w:ascii="Cambria" w:hAnsi="Cambria"/>
          <w:b/>
          <w:bCs/>
          <w:i/>
          <w:iCs/>
        </w:rPr>
      </w:pPr>
      <w:r w:rsidRPr="001E25D6">
        <w:rPr>
          <w:rFonts w:ascii="Cambria" w:hAnsi="Cambria"/>
          <w:bCs/>
          <w:iCs/>
        </w:rPr>
        <w:t>Que de acuerdo con la modificación al artículo 175 de la Ley 7732, incluida en la Ley 9746, el canon podrá ser diferenciado, según lo defina el Consejo Nacional de Supervisión del Sistema Financiero (Conassif), en función del perfil de riesgo del sujeto supervisado, su estructura, la cantidad y el monto de sus transacciones, y su vulnerabilidad al riesgo.</w:t>
      </w:r>
    </w:p>
    <w:p w:rsidRPr="00D350E8" w:rsidR="00F318B8" w:rsidP="00F318B8" w:rsidRDefault="00F318B8" w14:paraId="37B69BA9" w14:textId="77777777">
      <w:pPr>
        <w:pStyle w:val="Prrafodelista"/>
        <w:rPr>
          <w:rFonts w:ascii="Cambria" w:hAnsi="Cambria"/>
          <w:b/>
          <w:bCs/>
          <w:i/>
          <w:iCs/>
        </w:rPr>
      </w:pPr>
    </w:p>
    <w:p w:rsidRPr="00D350E8" w:rsidR="00F318B8" w:rsidP="00F318B8" w:rsidRDefault="00F318B8" w14:paraId="737E6441" w14:textId="77777777">
      <w:pPr>
        <w:pStyle w:val="Prrafodelista"/>
        <w:numPr>
          <w:ilvl w:val="0"/>
          <w:numId w:val="6"/>
        </w:numPr>
        <w:spacing w:after="160" w:line="259" w:lineRule="auto"/>
        <w:contextualSpacing/>
        <w:jc w:val="both"/>
        <w:rPr>
          <w:rFonts w:ascii="Cambria" w:hAnsi="Cambria"/>
          <w:b/>
          <w:bCs/>
          <w:i/>
          <w:iCs/>
        </w:rPr>
      </w:pPr>
      <w:r w:rsidRPr="001E25D6">
        <w:rPr>
          <w:rFonts w:ascii="Cambria" w:hAnsi="Cambria"/>
          <w:bCs/>
          <w:iCs/>
        </w:rPr>
        <w:t xml:space="preserve">Que el artículo 175 de la Ley 7732 establece que, en caso de mora, el monto de las contribuciones adeudadas devengará la tasa de interés moratoria definida en la Ley 4755, </w:t>
      </w:r>
      <w:r w:rsidRPr="003D7F10">
        <w:rPr>
          <w:rFonts w:ascii="Cambria" w:hAnsi="Cambria"/>
          <w:bCs/>
          <w:i/>
        </w:rPr>
        <w:t>Código de Normas y Procedimientos Tributarios</w:t>
      </w:r>
      <w:r w:rsidRPr="001E25D6">
        <w:rPr>
          <w:rFonts w:ascii="Cambria" w:hAnsi="Cambria"/>
          <w:bCs/>
          <w:iCs/>
        </w:rPr>
        <w:t>.</w:t>
      </w:r>
    </w:p>
    <w:p w:rsidRPr="001E25D6" w:rsidR="00F318B8" w:rsidP="00F318B8" w:rsidRDefault="00F318B8" w14:paraId="52D904DA" w14:textId="77777777">
      <w:pPr>
        <w:pStyle w:val="Prrafodelista"/>
        <w:ind w:left="930"/>
        <w:jc w:val="both"/>
        <w:rPr>
          <w:rFonts w:ascii="Cambria" w:hAnsi="Cambria"/>
          <w:bCs/>
          <w:iCs/>
        </w:rPr>
      </w:pPr>
    </w:p>
    <w:p w:rsidRPr="001E25D6" w:rsidR="00F318B8" w:rsidP="00F318B8" w:rsidRDefault="00F318B8" w14:paraId="6A9C071E" w14:textId="77777777">
      <w:pPr>
        <w:pStyle w:val="Prrafodelista"/>
        <w:numPr>
          <w:ilvl w:val="0"/>
          <w:numId w:val="6"/>
        </w:numPr>
        <w:spacing w:after="160" w:line="259" w:lineRule="auto"/>
        <w:contextualSpacing/>
        <w:jc w:val="both"/>
        <w:rPr>
          <w:rFonts w:ascii="Cambria" w:hAnsi="Cambria"/>
          <w:b/>
          <w:bCs/>
          <w:i/>
          <w:iCs/>
        </w:rPr>
      </w:pPr>
      <w:r w:rsidRPr="001E25D6">
        <w:rPr>
          <w:rFonts w:ascii="Cambria" w:hAnsi="Cambria"/>
          <w:bCs/>
          <w:iCs/>
        </w:rPr>
        <w:t xml:space="preserve">Que mediante artículo 7 del acta de la sesión 1542-2019, celebrada el 4 de noviembre de 2019 el Conassif aprobó el </w:t>
      </w:r>
      <w:r w:rsidRPr="00F61386">
        <w:rPr>
          <w:rFonts w:ascii="Cambria" w:hAnsi="Cambria"/>
          <w:bCs/>
          <w:i/>
        </w:rPr>
        <w:t>Reglamento para la prevención del riesgo de legitimación de capitales, financiamiento al terrorismo y financiamiento de la proliferación de armas de destrucción masiva, aplicable a los sujetos obligados por los artículos 15 y 15 bis de la Ley 7786</w:t>
      </w:r>
      <w:r w:rsidRPr="001E25D6">
        <w:rPr>
          <w:rFonts w:ascii="Cambria" w:hAnsi="Cambria"/>
          <w:bCs/>
          <w:iCs/>
        </w:rPr>
        <w:t>, Acuerdo Sugef 13-19, el cual establece los criterios y parámetros con base en los cuales se realiza la clasificación por tipo de sujeto obligado, considerando su tamaño, estructura, cantidad de operaciones, número de empleados, volumen transaccional y factores de exposición al riesgo de legitimación de capitales, financiamiento del terrorismo y financiamiento de la proliferación de armas de destrucción masiva (LC/FT/FPADM), en cumplimiento de lo dispuesto en la Ley 7786. Esta clasificación por tipo de sujeto obligado es necesaria para que el Conassif realice la diferenciación del canon a cobrar a los sujetos obligados.</w:t>
      </w:r>
    </w:p>
    <w:p w:rsidR="00F318B8" w:rsidP="00F318B8" w:rsidRDefault="00F318B8" w14:paraId="7ECA07A0" w14:textId="77777777">
      <w:pPr>
        <w:pStyle w:val="Prrafodelista"/>
        <w:jc w:val="both"/>
        <w:rPr>
          <w:rFonts w:ascii="Cambria" w:hAnsi="Cambria"/>
          <w:bCs/>
          <w:iCs/>
        </w:rPr>
      </w:pPr>
    </w:p>
    <w:p w:rsidR="00F318B8" w:rsidP="00F318B8" w:rsidRDefault="00F318B8" w14:paraId="27937D63" w14:textId="77777777">
      <w:pPr>
        <w:pStyle w:val="Prrafodelista"/>
        <w:numPr>
          <w:ilvl w:val="0"/>
          <w:numId w:val="6"/>
        </w:numPr>
        <w:jc w:val="both"/>
        <w:rPr>
          <w:rFonts w:ascii="Cambria" w:hAnsi="Cambria"/>
        </w:rPr>
      </w:pPr>
      <w:r>
        <w:rPr>
          <w:rFonts w:ascii="Cambria" w:hAnsi="Cambria"/>
        </w:rPr>
        <w:t>Que el Reglamento de Prevención del Riesgo de LC/FT/FPADM, Acuerdo SUGEF 13-19, establece en el artículo 40 que el sujeto obligado debe notificar a la Superintendencia las cuentas, productos o servicios de uso exclusivo para la actividad por la que fue inscrito ante la SUGEF y de conformidad con el Acuerdo SUGEF 11-18, establece que el sujeto obligado debe mantener a su nombre, las cuentas con entidades financieras supervisadas por alguna Superintendencia adscrita al CONASSIF.</w:t>
      </w:r>
    </w:p>
    <w:p w:rsidRPr="00DA5402" w:rsidR="00F318B8" w:rsidP="00F318B8" w:rsidRDefault="00F318B8" w14:paraId="603E06F8" w14:textId="77777777">
      <w:pPr>
        <w:pStyle w:val="Prrafodelista"/>
        <w:rPr>
          <w:rFonts w:ascii="Cambria" w:hAnsi="Cambria"/>
        </w:rPr>
      </w:pPr>
    </w:p>
    <w:p w:rsidRPr="00DC20E2" w:rsidR="00F318B8" w:rsidP="00F318B8" w:rsidRDefault="00F318B8" w14:paraId="469E474A" w14:textId="77777777"/>
    <w:p w:rsidRPr="004118F6" w:rsidR="00F318B8" w:rsidP="00F318B8" w:rsidRDefault="00F318B8" w14:paraId="4121AAA3" w14:textId="53D20AFE">
      <w:pPr>
        <w:pStyle w:val="Prrafodelista"/>
        <w:numPr>
          <w:ilvl w:val="0"/>
          <w:numId w:val="6"/>
        </w:numPr>
        <w:spacing w:after="160" w:line="259" w:lineRule="auto"/>
        <w:contextualSpacing/>
        <w:jc w:val="both"/>
        <w:rPr>
          <w:rFonts w:ascii="Cambria" w:hAnsi="Cambria"/>
          <w:bCs/>
          <w:iCs/>
        </w:rPr>
      </w:pPr>
      <w:r w:rsidRPr="001E25D6">
        <w:rPr>
          <w:rFonts w:ascii="Cambria" w:hAnsi="Cambria"/>
          <w:bCs/>
          <w:iCs/>
        </w:rPr>
        <w:lastRenderedPageBreak/>
        <w:t>Que en sesión 1450-2018 del 8 de octubre de 2018 el Conassif aprobó el</w:t>
      </w:r>
      <w:r>
        <w:rPr>
          <w:rFonts w:ascii="Cambria" w:hAnsi="Cambria"/>
          <w:bCs/>
          <w:iCs/>
        </w:rPr>
        <w:t xml:space="preserve"> Acuerdo SUGEF 11-18, </w:t>
      </w:r>
      <w:r w:rsidRPr="00F61386">
        <w:rPr>
          <w:rFonts w:ascii="Cambria" w:hAnsi="Cambria"/>
          <w:bCs/>
          <w:i/>
        </w:rPr>
        <w:t xml:space="preserve">Reglamento para la inscripción y </w:t>
      </w:r>
      <w:proofErr w:type="spellStart"/>
      <w:r w:rsidRPr="00F61386">
        <w:rPr>
          <w:rFonts w:ascii="Cambria" w:hAnsi="Cambria"/>
          <w:bCs/>
          <w:i/>
        </w:rPr>
        <w:t>desinscripción</w:t>
      </w:r>
      <w:proofErr w:type="spellEnd"/>
      <w:r w:rsidRPr="00F61386">
        <w:rPr>
          <w:rFonts w:ascii="Cambria" w:hAnsi="Cambria"/>
          <w:bCs/>
          <w:i/>
        </w:rPr>
        <w:t xml:space="preserve">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1E25D6">
        <w:rPr>
          <w:rFonts w:ascii="Cambria" w:hAnsi="Cambria"/>
          <w:bCs/>
          <w:iCs/>
        </w:rPr>
        <w:t>, en cuyos artículos 6</w:t>
      </w:r>
      <w:r>
        <w:rPr>
          <w:rFonts w:ascii="Cambria" w:hAnsi="Cambria"/>
          <w:bCs/>
          <w:iCs/>
        </w:rPr>
        <w:t>)</w:t>
      </w:r>
      <w:r w:rsidRPr="001E25D6">
        <w:rPr>
          <w:rFonts w:ascii="Cambria" w:hAnsi="Cambria"/>
          <w:bCs/>
          <w:iCs/>
        </w:rPr>
        <w:t xml:space="preserve"> inciso f), 7</w:t>
      </w:r>
      <w:r>
        <w:rPr>
          <w:rFonts w:ascii="Cambria" w:hAnsi="Cambria"/>
          <w:bCs/>
          <w:iCs/>
        </w:rPr>
        <w:t>)</w:t>
      </w:r>
      <w:r w:rsidRPr="001E25D6">
        <w:rPr>
          <w:rFonts w:ascii="Cambria" w:hAnsi="Cambria"/>
          <w:bCs/>
          <w:iCs/>
        </w:rPr>
        <w:t xml:space="preserve"> inciso a), numeral </w:t>
      </w:r>
      <w:proofErr w:type="spellStart"/>
      <w:r w:rsidRPr="001E25D6">
        <w:rPr>
          <w:rFonts w:ascii="Cambria" w:hAnsi="Cambria"/>
          <w:bCs/>
          <w:iCs/>
        </w:rPr>
        <w:t>viii</w:t>
      </w:r>
      <w:proofErr w:type="spellEnd"/>
      <w:r>
        <w:rPr>
          <w:rFonts w:ascii="Cambria" w:hAnsi="Cambria"/>
          <w:bCs/>
          <w:iCs/>
        </w:rPr>
        <w:t>)</w:t>
      </w:r>
      <w:r w:rsidRPr="001E25D6">
        <w:rPr>
          <w:rFonts w:ascii="Cambria" w:hAnsi="Cambria"/>
          <w:bCs/>
          <w:iCs/>
        </w:rPr>
        <w:t xml:space="preserve"> </w:t>
      </w:r>
      <w:proofErr w:type="spellStart"/>
      <w:r w:rsidRPr="001E25D6">
        <w:rPr>
          <w:rFonts w:ascii="Cambria" w:hAnsi="Cambria"/>
          <w:bCs/>
          <w:iCs/>
        </w:rPr>
        <w:t>y</w:t>
      </w:r>
      <w:proofErr w:type="spellEnd"/>
      <w:r w:rsidRPr="001E25D6">
        <w:rPr>
          <w:rFonts w:ascii="Cambria" w:hAnsi="Cambria"/>
          <w:bCs/>
          <w:iCs/>
        </w:rPr>
        <w:t xml:space="preserve"> </w:t>
      </w:r>
      <w:r w:rsidR="00B64CD7">
        <w:rPr>
          <w:rFonts w:ascii="Cambria" w:hAnsi="Cambria"/>
          <w:bCs/>
          <w:iCs/>
        </w:rPr>
        <w:t xml:space="preserve"> </w:t>
      </w:r>
      <w:r w:rsidRPr="001E25D6">
        <w:rPr>
          <w:rFonts w:ascii="Cambria" w:hAnsi="Cambria"/>
          <w:bCs/>
          <w:iCs/>
        </w:rPr>
        <w:t xml:space="preserve">inciso b), numeral </w:t>
      </w:r>
      <w:proofErr w:type="spellStart"/>
      <w:r w:rsidRPr="001E25D6">
        <w:rPr>
          <w:rFonts w:ascii="Cambria" w:hAnsi="Cambria"/>
          <w:bCs/>
          <w:iCs/>
        </w:rPr>
        <w:t>vii</w:t>
      </w:r>
      <w:proofErr w:type="spellEnd"/>
      <w:r>
        <w:rPr>
          <w:rFonts w:ascii="Cambria" w:hAnsi="Cambria"/>
          <w:bCs/>
          <w:iCs/>
        </w:rPr>
        <w:t>)</w:t>
      </w:r>
      <w:r w:rsidRPr="001E25D6">
        <w:rPr>
          <w:rFonts w:ascii="Cambria" w:hAnsi="Cambria"/>
          <w:bCs/>
          <w:iCs/>
        </w:rPr>
        <w:t>, solicitan a los sujetos obligados que aporten una dirección de correo electrónico para recibir notificaciones, la cual será registrada ante la Superintendencia y que servirá a los efectos de los trámites relacionados con el cumplimiento de la contribución al presupuesto de la Superintendencia.</w:t>
      </w:r>
    </w:p>
    <w:p w:rsidRPr="001E25D6" w:rsidR="00F318B8" w:rsidP="00F318B8" w:rsidRDefault="00F318B8" w14:paraId="439C175E" w14:textId="77777777">
      <w:pPr>
        <w:pStyle w:val="Prrafodelista"/>
        <w:spacing w:after="160" w:line="259" w:lineRule="auto"/>
        <w:ind w:left="570"/>
        <w:contextualSpacing/>
        <w:jc w:val="both"/>
        <w:rPr>
          <w:rFonts w:ascii="Cambria" w:hAnsi="Cambria"/>
          <w:bCs/>
          <w:iCs/>
        </w:rPr>
      </w:pPr>
    </w:p>
    <w:p w:rsidRPr="001E25D6" w:rsidR="00F318B8" w:rsidP="00F318B8" w:rsidRDefault="00F318B8" w14:paraId="5639370E" w14:textId="74A444E1">
      <w:pPr>
        <w:pStyle w:val="Prrafodelista"/>
        <w:numPr>
          <w:ilvl w:val="0"/>
          <w:numId w:val="6"/>
        </w:numPr>
        <w:spacing w:after="160" w:line="259" w:lineRule="auto"/>
        <w:contextualSpacing/>
        <w:jc w:val="both"/>
        <w:rPr>
          <w:rFonts w:ascii="Cambria" w:hAnsi="Cambria"/>
          <w:b/>
          <w:bCs/>
          <w:i/>
          <w:iCs/>
        </w:rPr>
      </w:pPr>
      <w:bookmarkStart w:name="_Hlk86243696" w:id="1"/>
      <w:r w:rsidRPr="001E25D6">
        <w:rPr>
          <w:rFonts w:ascii="Cambria" w:hAnsi="Cambria"/>
          <w:bCs/>
          <w:iCs/>
        </w:rPr>
        <w:t xml:space="preserve">Que el artículo 6 del </w:t>
      </w:r>
      <w:r w:rsidRPr="00F61386">
        <w:rPr>
          <w:rFonts w:ascii="Cambria" w:hAnsi="Cambria"/>
          <w:bCs/>
          <w:i/>
          <w:iCs/>
        </w:rPr>
        <w:t>Reglamento para la Contribución de los Sujetos que realicen Actividades Descritas en los Artículos 15 y 15 bis de la Ley 7786 al Financiamiento del Presupuesto de la Superintendencia General de Entidades Financieras</w:t>
      </w:r>
      <w:r w:rsidRPr="001E25D6">
        <w:rPr>
          <w:rFonts w:ascii="Cambria" w:hAnsi="Cambria"/>
          <w:bCs/>
          <w:iCs/>
        </w:rPr>
        <w:t xml:space="preserve">,  indica: </w:t>
      </w:r>
      <w:r w:rsidRPr="00EC49F8">
        <w:rPr>
          <w:rFonts w:ascii="Cambria" w:hAnsi="Cambria"/>
          <w:bCs/>
          <w:i/>
        </w:rPr>
        <w:t>“El Conassif fijará en febrero de cada año el canon con el que contribuirá cada sujeto obligado de acuerdo con la metodología vigente, para lo cual considerará la clasificación según el tipo de sujeto obligado vigente, la cantidad de sujetos inscritos, así como los costos ejecutados por la supervisión a estos sujetos obligados, al 31 de diciembre del año anterior (…)”</w:t>
      </w:r>
      <w:r w:rsidR="00B64CD7">
        <w:rPr>
          <w:rFonts w:ascii="Cambria" w:hAnsi="Cambria"/>
          <w:bCs/>
          <w:i/>
        </w:rPr>
        <w:t>.</w:t>
      </w:r>
    </w:p>
    <w:bookmarkEnd w:id="1"/>
    <w:p w:rsidRPr="001E25D6" w:rsidR="00F318B8" w:rsidP="00F318B8" w:rsidRDefault="00F318B8" w14:paraId="6C01FFFB" w14:textId="77777777">
      <w:pPr>
        <w:pStyle w:val="Prrafodelista"/>
        <w:rPr>
          <w:rFonts w:ascii="Cambria" w:hAnsi="Cambria"/>
          <w:b/>
          <w:bCs/>
          <w:i/>
          <w:iCs/>
        </w:rPr>
      </w:pPr>
    </w:p>
    <w:p w:rsidRPr="00303CD1" w:rsidR="00F318B8" w:rsidP="00F318B8" w:rsidRDefault="00F318B8" w14:paraId="23C62F9B" w14:textId="0E4B3726">
      <w:pPr>
        <w:pStyle w:val="Prrafodelista"/>
        <w:numPr>
          <w:ilvl w:val="0"/>
          <w:numId w:val="6"/>
        </w:numPr>
        <w:spacing w:after="160" w:line="259" w:lineRule="auto"/>
        <w:contextualSpacing/>
        <w:jc w:val="both"/>
        <w:rPr>
          <w:rFonts w:ascii="Cambria" w:hAnsi="Cambria"/>
          <w:bCs/>
        </w:rPr>
      </w:pPr>
      <w:r w:rsidRPr="00303CD1">
        <w:rPr>
          <w:rFonts w:ascii="Cambria" w:hAnsi="Cambria"/>
        </w:rPr>
        <w:t>Que en el artículo 9 del</w:t>
      </w:r>
      <w:r w:rsidRPr="00772474">
        <w:rPr>
          <w:rFonts w:ascii="Cambria" w:hAnsi="Cambria"/>
        </w:rPr>
        <w:t xml:space="preserve"> </w:t>
      </w:r>
      <w:r w:rsidRPr="00772474">
        <w:rPr>
          <w:rFonts w:ascii="Cambria" w:hAnsi="Cambria"/>
          <w:bCs/>
          <w:i/>
          <w:iCs/>
        </w:rPr>
        <w:t>Reglamento para la Contribución de los Sujetos que realicen Actividades Descritas en los Artículos 15 y 15 bis de la Ley 7786 al Financiamiento del Presupuesto de la Su</w:t>
      </w:r>
      <w:r w:rsidRPr="00303CD1">
        <w:rPr>
          <w:rFonts w:ascii="Cambria" w:hAnsi="Cambria"/>
          <w:bCs/>
          <w:i/>
          <w:iCs/>
        </w:rPr>
        <w:t>perintendencia General de Entidades Financieras, se indica: “</w:t>
      </w:r>
      <w:r w:rsidRPr="00DA5402">
        <w:rPr>
          <w:rFonts w:ascii="Cambria" w:hAnsi="Cambria"/>
          <w:i/>
          <w:iCs/>
        </w:rPr>
        <w:t>Durante mayo de cada año, la Sugef procederá a realizar el débito del canon, de las cuentas que el sujeto obligado registró como de uso exclusivo para la o las actividades inscritas y que autorizó para que se efectúe el débito directo contra la misma, conforme los procedimientos establecidos al efecto. En el caso de que el sujeto obligado registre y autorice una cuenta en dólares de los Estados Unidos de América, el canon será cobrado en colones al tipo de cambio de venta del dólar del Banco Central de Costa Rica, del día en que se aplique el cobro</w:t>
      </w:r>
      <w:r w:rsidRPr="00303CD1">
        <w:rPr>
          <w:rFonts w:ascii="Cambria" w:hAnsi="Cambria"/>
          <w:i/>
          <w:iCs/>
        </w:rPr>
        <w:t xml:space="preserve">.  </w:t>
      </w:r>
      <w:r w:rsidRPr="00772474">
        <w:rPr>
          <w:rFonts w:ascii="Cambria" w:hAnsi="Cambria"/>
          <w:i/>
          <w:iCs/>
        </w:rPr>
        <w:t xml:space="preserve">El plazo para efectuar el pago del canon sin cargo de intereses moratorios vence el último </w:t>
      </w:r>
      <w:r w:rsidRPr="00303CD1">
        <w:rPr>
          <w:rFonts w:ascii="Cambria" w:hAnsi="Cambria"/>
          <w:i/>
          <w:iCs/>
        </w:rPr>
        <w:t>día hábil del mes de mayo de cada año. El sujeto obligado debe asegurar contenido económico suficiente en las cuentas registradas, para que se pueda realizar el cobro</w:t>
      </w:r>
      <w:r w:rsidR="00B64CD7">
        <w:rPr>
          <w:rFonts w:ascii="Cambria" w:hAnsi="Cambria"/>
          <w:i/>
          <w:iCs/>
        </w:rPr>
        <w:t>”.</w:t>
      </w:r>
    </w:p>
    <w:p w:rsidR="00F318B8" w:rsidP="00F318B8" w:rsidRDefault="00F318B8" w14:paraId="051D04AF" w14:textId="77777777">
      <w:pPr>
        <w:pStyle w:val="Prrafodelista"/>
        <w:rPr>
          <w:rFonts w:ascii="Cambria" w:hAnsi="Cambria"/>
          <w:bCs/>
        </w:rPr>
      </w:pPr>
    </w:p>
    <w:p w:rsidRPr="001E25D6" w:rsidR="00F318B8" w:rsidP="00F318B8" w:rsidRDefault="00F318B8" w14:paraId="454969F7" w14:textId="77777777">
      <w:pPr>
        <w:pStyle w:val="Prrafodelista"/>
        <w:numPr>
          <w:ilvl w:val="0"/>
          <w:numId w:val="6"/>
        </w:numPr>
        <w:spacing w:after="160" w:line="259" w:lineRule="auto"/>
        <w:contextualSpacing/>
        <w:jc w:val="both"/>
        <w:rPr>
          <w:rFonts w:ascii="Cambria" w:hAnsi="Cambria"/>
          <w:b/>
          <w:bCs/>
        </w:rPr>
      </w:pPr>
      <w:r w:rsidRPr="001E25D6">
        <w:rPr>
          <w:rFonts w:ascii="Cambria" w:hAnsi="Cambria"/>
          <w:bCs/>
          <w:iCs/>
        </w:rPr>
        <w:t>Que mediante el artículo 7 del acta de las sesiones 1618-2020 y 1619-202</w:t>
      </w:r>
      <w:r>
        <w:rPr>
          <w:rFonts w:ascii="Cambria" w:hAnsi="Cambria"/>
          <w:bCs/>
          <w:iCs/>
        </w:rPr>
        <w:t>0</w:t>
      </w:r>
      <w:r w:rsidRPr="001E25D6">
        <w:rPr>
          <w:rFonts w:ascii="Cambria" w:hAnsi="Cambria"/>
          <w:bCs/>
          <w:iCs/>
        </w:rPr>
        <w:t xml:space="preserve">, celebradas el 9 de noviembre de 2020 el Conassif aprobó la </w:t>
      </w:r>
      <w:r w:rsidRPr="003D7F10">
        <w:rPr>
          <w:rFonts w:ascii="Cambria" w:hAnsi="Cambria"/>
          <w:bCs/>
          <w:i/>
          <w:iCs/>
        </w:rPr>
        <w:t>Metodología para el cálculo del canon para la contribución de los sujetos obligados por los artículos 15 y 15 bis de la Ley 7786, al financiamiento del presupuesto de la Superintendencia General de Entidades Financieras</w:t>
      </w:r>
      <w:r w:rsidRPr="001E25D6">
        <w:rPr>
          <w:rFonts w:ascii="Cambria" w:hAnsi="Cambria"/>
          <w:bCs/>
        </w:rPr>
        <w:t>.</w:t>
      </w:r>
    </w:p>
    <w:p w:rsidRPr="008C615D" w:rsidR="00F318B8" w:rsidP="00F318B8" w:rsidRDefault="00F318B8" w14:paraId="2C731202" w14:textId="77777777">
      <w:pPr>
        <w:pStyle w:val="Prrafodelista"/>
        <w:rPr>
          <w:rFonts w:ascii="Cambria" w:hAnsi="Cambria"/>
          <w:bCs/>
        </w:rPr>
      </w:pPr>
    </w:p>
    <w:p w:rsidRPr="008C615D" w:rsidR="00F318B8" w:rsidP="00F318B8" w:rsidRDefault="00F318B8" w14:paraId="55869212" w14:textId="77777777">
      <w:pPr>
        <w:pStyle w:val="Prrafodelista"/>
        <w:numPr>
          <w:ilvl w:val="0"/>
          <w:numId w:val="6"/>
        </w:numPr>
        <w:spacing w:after="160" w:line="259" w:lineRule="auto"/>
        <w:contextualSpacing/>
        <w:jc w:val="both"/>
        <w:rPr>
          <w:rFonts w:ascii="Cambria" w:hAnsi="Cambria"/>
          <w:bCs/>
        </w:rPr>
      </w:pPr>
      <w:r w:rsidRPr="00B81D69">
        <w:rPr>
          <w:rFonts w:ascii="Cambria" w:hAnsi="Cambria"/>
          <w:bCs/>
        </w:rPr>
        <w:t>Que los gastos efectivos del proceso de inscripción y supervisión de los sujetos obligados por los artículos 15 y 15 Bis de la Ley 7786 para el año terminado al 31 de diciembre de 202</w:t>
      </w:r>
      <w:r>
        <w:rPr>
          <w:rFonts w:ascii="Cambria" w:hAnsi="Cambria"/>
          <w:bCs/>
        </w:rPr>
        <w:t xml:space="preserve">1 </w:t>
      </w:r>
      <w:r w:rsidRPr="00B81D69">
        <w:rPr>
          <w:rFonts w:ascii="Cambria" w:hAnsi="Cambria"/>
          <w:bCs/>
        </w:rPr>
        <w:t>y el porcentaje de contribución del 20%</w:t>
      </w:r>
      <w:r>
        <w:rPr>
          <w:rFonts w:ascii="Cambria" w:hAnsi="Cambria"/>
          <w:bCs/>
        </w:rPr>
        <w:t>,</w:t>
      </w:r>
      <w:r w:rsidRPr="00B81D69">
        <w:rPr>
          <w:rFonts w:ascii="Cambria" w:hAnsi="Cambria"/>
          <w:bCs/>
        </w:rPr>
        <w:t xml:space="preserve"> son los siguientes:</w:t>
      </w:r>
    </w:p>
    <w:p w:rsidR="00F318B8" w:rsidP="00F318B8" w:rsidRDefault="00F318B8" w14:paraId="269E90FC" w14:textId="77777777">
      <w:pPr>
        <w:rPr>
          <w:b/>
          <w:bCs/>
          <w:highlight w:val="yellow"/>
        </w:rPr>
      </w:pPr>
    </w:p>
    <w:tbl>
      <w:tblPr>
        <w:tblStyle w:val="Tablaconcuadrcula"/>
        <w:tblW w:w="0" w:type="auto"/>
        <w:tblInd w:w="1555" w:type="dxa"/>
        <w:tblLook w:val="04A0" w:firstRow="1" w:lastRow="0" w:firstColumn="1" w:lastColumn="0" w:noHBand="0" w:noVBand="1"/>
      </w:tblPr>
      <w:tblGrid>
        <w:gridCol w:w="2771"/>
        <w:gridCol w:w="772"/>
        <w:gridCol w:w="1985"/>
      </w:tblGrid>
      <w:tr w:rsidR="00F318B8" w:rsidTr="00C22F8B" w14:paraId="2DB18853" w14:textId="77777777">
        <w:tc>
          <w:tcPr>
            <w:tcW w:w="2771" w:type="dxa"/>
            <w:tcBorders>
              <w:top w:val="single" w:color="auto" w:sz="4" w:space="0"/>
              <w:left w:val="single" w:color="auto" w:sz="4" w:space="0"/>
              <w:bottom w:val="single" w:color="auto" w:sz="4" w:space="0"/>
              <w:right w:val="single" w:color="auto" w:sz="4" w:space="0"/>
            </w:tcBorders>
            <w:hideMark/>
          </w:tcPr>
          <w:p w:rsidR="00F318B8" w:rsidP="00C22F8B" w:rsidRDefault="00F318B8" w14:paraId="2C2CE239" w14:textId="77777777">
            <w:pPr>
              <w:autoSpaceDE w:val="0"/>
              <w:autoSpaceDN w:val="0"/>
              <w:adjustRightInd w:val="0"/>
              <w:jc w:val="center"/>
              <w:rPr>
                <w:b/>
                <w:bCs/>
              </w:rPr>
            </w:pPr>
            <w:r>
              <w:rPr>
                <w:b/>
                <w:bCs/>
              </w:rPr>
              <w:t>Tipo de costo</w:t>
            </w:r>
          </w:p>
        </w:tc>
        <w:tc>
          <w:tcPr>
            <w:tcW w:w="772" w:type="dxa"/>
            <w:tcBorders>
              <w:top w:val="single" w:color="auto" w:sz="4" w:space="0"/>
              <w:left w:val="single" w:color="auto" w:sz="4" w:space="0"/>
              <w:bottom w:val="single" w:color="auto" w:sz="4" w:space="0"/>
              <w:right w:val="nil"/>
            </w:tcBorders>
          </w:tcPr>
          <w:p w:rsidR="00F318B8" w:rsidP="00C22F8B" w:rsidRDefault="00F318B8" w14:paraId="50EF73E8" w14:textId="77777777">
            <w:pPr>
              <w:autoSpaceDE w:val="0"/>
              <w:autoSpaceDN w:val="0"/>
              <w:adjustRightInd w:val="0"/>
              <w:jc w:val="center"/>
              <w:rPr>
                <w:b/>
                <w:bCs/>
              </w:rPr>
            </w:pPr>
          </w:p>
        </w:tc>
        <w:tc>
          <w:tcPr>
            <w:tcW w:w="1985" w:type="dxa"/>
            <w:tcBorders>
              <w:top w:val="single" w:color="auto" w:sz="4" w:space="0"/>
              <w:left w:val="nil"/>
              <w:bottom w:val="single" w:color="auto" w:sz="4" w:space="0"/>
              <w:right w:val="single" w:color="auto" w:sz="4" w:space="0"/>
            </w:tcBorders>
            <w:hideMark/>
          </w:tcPr>
          <w:p w:rsidR="00F318B8" w:rsidP="00C22F8B" w:rsidRDefault="00F318B8" w14:paraId="0D3E64E6" w14:textId="77777777">
            <w:pPr>
              <w:autoSpaceDE w:val="0"/>
              <w:autoSpaceDN w:val="0"/>
              <w:adjustRightInd w:val="0"/>
              <w:jc w:val="center"/>
              <w:rPr>
                <w:b/>
                <w:bCs/>
              </w:rPr>
            </w:pPr>
            <w:r>
              <w:rPr>
                <w:b/>
                <w:bCs/>
              </w:rPr>
              <w:t>Monto</w:t>
            </w:r>
          </w:p>
        </w:tc>
      </w:tr>
      <w:tr w:rsidR="00F318B8" w:rsidTr="00C22F8B" w14:paraId="33418DFC" w14:textId="77777777">
        <w:tc>
          <w:tcPr>
            <w:tcW w:w="2771" w:type="dxa"/>
            <w:tcBorders>
              <w:top w:val="single" w:color="auto" w:sz="4" w:space="0"/>
              <w:left w:val="single" w:color="auto" w:sz="4" w:space="0"/>
              <w:bottom w:val="single" w:color="auto" w:sz="4" w:space="0"/>
              <w:right w:val="single" w:color="auto" w:sz="4" w:space="0"/>
            </w:tcBorders>
            <w:hideMark/>
          </w:tcPr>
          <w:p w:rsidR="00F318B8" w:rsidP="00C22F8B" w:rsidRDefault="00F318B8" w14:paraId="0EC7978C" w14:textId="77777777">
            <w:pPr>
              <w:autoSpaceDE w:val="0"/>
              <w:autoSpaceDN w:val="0"/>
              <w:adjustRightInd w:val="0"/>
              <w:jc w:val="center"/>
            </w:pPr>
            <w:r>
              <w:t>Costos directos</w:t>
            </w:r>
          </w:p>
        </w:tc>
        <w:tc>
          <w:tcPr>
            <w:tcW w:w="772" w:type="dxa"/>
            <w:tcBorders>
              <w:top w:val="single" w:color="auto" w:sz="4" w:space="0"/>
              <w:left w:val="single" w:color="auto" w:sz="4" w:space="0"/>
              <w:bottom w:val="single" w:color="auto" w:sz="4" w:space="0"/>
              <w:right w:val="nil"/>
            </w:tcBorders>
            <w:hideMark/>
          </w:tcPr>
          <w:p w:rsidR="00F318B8" w:rsidP="00C22F8B" w:rsidRDefault="00F318B8" w14:paraId="1A0D7C9A" w14:textId="77777777">
            <w:pPr>
              <w:autoSpaceDE w:val="0"/>
              <w:autoSpaceDN w:val="0"/>
              <w:adjustRightInd w:val="0"/>
              <w:jc w:val="center"/>
            </w:pPr>
            <w:r>
              <w:t>₵</w:t>
            </w:r>
          </w:p>
        </w:tc>
        <w:tc>
          <w:tcPr>
            <w:tcW w:w="1985" w:type="dxa"/>
            <w:tcBorders>
              <w:top w:val="single" w:color="auto" w:sz="4" w:space="0"/>
              <w:left w:val="nil"/>
              <w:bottom w:val="single" w:color="auto" w:sz="4" w:space="0"/>
              <w:right w:val="single" w:color="auto" w:sz="4" w:space="0"/>
            </w:tcBorders>
            <w:hideMark/>
          </w:tcPr>
          <w:p w:rsidR="00F318B8" w:rsidP="00C22F8B" w:rsidRDefault="00F318B8" w14:paraId="1271CFE7" w14:textId="77777777">
            <w:pPr>
              <w:autoSpaceDE w:val="0"/>
              <w:autoSpaceDN w:val="0"/>
              <w:adjustRightInd w:val="0"/>
              <w:jc w:val="right"/>
            </w:pPr>
            <w:r w:rsidRPr="002E69F1">
              <w:t>495 099</w:t>
            </w:r>
            <w:r>
              <w:t> </w:t>
            </w:r>
            <w:r w:rsidRPr="002E69F1">
              <w:t>960</w:t>
            </w:r>
          </w:p>
        </w:tc>
      </w:tr>
      <w:tr w:rsidR="00F318B8" w:rsidTr="00C22F8B" w14:paraId="5CA49741" w14:textId="77777777">
        <w:tc>
          <w:tcPr>
            <w:tcW w:w="2771" w:type="dxa"/>
            <w:tcBorders>
              <w:top w:val="single" w:color="auto" w:sz="4" w:space="0"/>
              <w:left w:val="single" w:color="auto" w:sz="4" w:space="0"/>
              <w:bottom w:val="single" w:color="auto" w:sz="4" w:space="0"/>
              <w:right w:val="single" w:color="auto" w:sz="4" w:space="0"/>
            </w:tcBorders>
            <w:hideMark/>
          </w:tcPr>
          <w:p w:rsidR="00F318B8" w:rsidP="00C22F8B" w:rsidRDefault="00F318B8" w14:paraId="74F0D7CE" w14:textId="77777777">
            <w:pPr>
              <w:autoSpaceDE w:val="0"/>
              <w:autoSpaceDN w:val="0"/>
              <w:adjustRightInd w:val="0"/>
              <w:jc w:val="center"/>
            </w:pPr>
            <w:r>
              <w:t>Costos de sistemas</w:t>
            </w:r>
          </w:p>
        </w:tc>
        <w:tc>
          <w:tcPr>
            <w:tcW w:w="772" w:type="dxa"/>
            <w:tcBorders>
              <w:top w:val="single" w:color="auto" w:sz="4" w:space="0"/>
              <w:left w:val="single" w:color="auto" w:sz="4" w:space="0"/>
              <w:bottom w:val="single" w:color="auto" w:sz="4" w:space="0"/>
              <w:right w:val="nil"/>
            </w:tcBorders>
          </w:tcPr>
          <w:p w:rsidR="00F318B8" w:rsidP="00C22F8B" w:rsidRDefault="00F318B8" w14:paraId="5694032E" w14:textId="77777777">
            <w:pPr>
              <w:autoSpaceDE w:val="0"/>
              <w:autoSpaceDN w:val="0"/>
              <w:adjustRightInd w:val="0"/>
              <w:jc w:val="center"/>
            </w:pPr>
          </w:p>
        </w:tc>
        <w:tc>
          <w:tcPr>
            <w:tcW w:w="1985" w:type="dxa"/>
            <w:tcBorders>
              <w:top w:val="single" w:color="auto" w:sz="4" w:space="0"/>
              <w:left w:val="nil"/>
              <w:bottom w:val="single" w:color="auto" w:sz="4" w:space="0"/>
              <w:right w:val="single" w:color="auto" w:sz="4" w:space="0"/>
            </w:tcBorders>
            <w:hideMark/>
          </w:tcPr>
          <w:p w:rsidR="00F318B8" w:rsidP="00C22F8B" w:rsidRDefault="00F318B8" w14:paraId="074AD39B" w14:textId="77777777">
            <w:pPr>
              <w:autoSpaceDE w:val="0"/>
              <w:autoSpaceDN w:val="0"/>
              <w:adjustRightInd w:val="0"/>
              <w:jc w:val="right"/>
            </w:pPr>
            <w:r>
              <w:t>460 202 800</w:t>
            </w:r>
          </w:p>
        </w:tc>
      </w:tr>
      <w:tr w:rsidR="00F318B8" w:rsidTr="00C22F8B" w14:paraId="2AEA68F9" w14:textId="77777777">
        <w:tc>
          <w:tcPr>
            <w:tcW w:w="2771" w:type="dxa"/>
            <w:tcBorders>
              <w:top w:val="single" w:color="auto" w:sz="4" w:space="0"/>
              <w:left w:val="single" w:color="auto" w:sz="4" w:space="0"/>
              <w:bottom w:val="single" w:color="auto" w:sz="4" w:space="0"/>
              <w:right w:val="single" w:color="auto" w:sz="4" w:space="0"/>
            </w:tcBorders>
            <w:hideMark/>
          </w:tcPr>
          <w:p w:rsidR="00F318B8" w:rsidP="00C22F8B" w:rsidRDefault="00F318B8" w14:paraId="314B906D" w14:textId="77777777">
            <w:pPr>
              <w:autoSpaceDE w:val="0"/>
              <w:autoSpaceDN w:val="0"/>
              <w:adjustRightInd w:val="0"/>
              <w:jc w:val="center"/>
            </w:pPr>
            <w:r>
              <w:t>Costos indirectos</w:t>
            </w:r>
          </w:p>
        </w:tc>
        <w:tc>
          <w:tcPr>
            <w:tcW w:w="772" w:type="dxa"/>
            <w:tcBorders>
              <w:top w:val="single" w:color="auto" w:sz="4" w:space="0"/>
              <w:left w:val="single" w:color="auto" w:sz="4" w:space="0"/>
              <w:bottom w:val="single" w:color="auto" w:sz="4" w:space="0"/>
              <w:right w:val="nil"/>
            </w:tcBorders>
          </w:tcPr>
          <w:p w:rsidR="00F318B8" w:rsidP="00C22F8B" w:rsidRDefault="00F318B8" w14:paraId="3AF06A15" w14:textId="77777777">
            <w:pPr>
              <w:autoSpaceDE w:val="0"/>
              <w:autoSpaceDN w:val="0"/>
              <w:adjustRightInd w:val="0"/>
              <w:jc w:val="center"/>
            </w:pPr>
          </w:p>
        </w:tc>
        <w:tc>
          <w:tcPr>
            <w:tcW w:w="1985" w:type="dxa"/>
            <w:tcBorders>
              <w:top w:val="single" w:color="auto" w:sz="4" w:space="0"/>
              <w:left w:val="nil"/>
              <w:bottom w:val="single" w:color="auto" w:sz="4" w:space="0"/>
              <w:right w:val="single" w:color="auto" w:sz="4" w:space="0"/>
            </w:tcBorders>
            <w:hideMark/>
          </w:tcPr>
          <w:p w:rsidR="00F318B8" w:rsidP="00C22F8B" w:rsidRDefault="00F318B8" w14:paraId="34228238" w14:textId="77777777">
            <w:pPr>
              <w:autoSpaceDE w:val="0"/>
              <w:autoSpaceDN w:val="0"/>
              <w:adjustRightInd w:val="0"/>
              <w:jc w:val="right"/>
            </w:pPr>
            <w:r>
              <w:t>515 588 040</w:t>
            </w:r>
          </w:p>
        </w:tc>
      </w:tr>
      <w:tr w:rsidR="00F318B8" w:rsidTr="00C22F8B" w14:paraId="43F64DE7" w14:textId="77777777">
        <w:trPr>
          <w:trHeight w:val="70"/>
        </w:trPr>
        <w:tc>
          <w:tcPr>
            <w:tcW w:w="2771" w:type="dxa"/>
            <w:tcBorders>
              <w:top w:val="single" w:color="auto" w:sz="4" w:space="0"/>
              <w:left w:val="single" w:color="auto" w:sz="4" w:space="0"/>
              <w:bottom w:val="single" w:color="auto" w:sz="4" w:space="0"/>
              <w:right w:val="single" w:color="auto" w:sz="4" w:space="0"/>
            </w:tcBorders>
            <w:hideMark/>
          </w:tcPr>
          <w:p w:rsidR="00F318B8" w:rsidP="00C22F8B" w:rsidRDefault="00F318B8" w14:paraId="7DC9EEFF" w14:textId="77777777">
            <w:pPr>
              <w:autoSpaceDE w:val="0"/>
              <w:autoSpaceDN w:val="0"/>
              <w:adjustRightInd w:val="0"/>
              <w:jc w:val="center"/>
              <w:rPr>
                <w:b/>
                <w:bCs/>
              </w:rPr>
            </w:pPr>
            <w:proofErr w:type="gramStart"/>
            <w:r>
              <w:rPr>
                <w:b/>
                <w:bCs/>
              </w:rPr>
              <w:t>Total</w:t>
            </w:r>
            <w:proofErr w:type="gramEnd"/>
            <w:r>
              <w:rPr>
                <w:b/>
                <w:bCs/>
              </w:rPr>
              <w:t xml:space="preserve"> costos 2021</w:t>
            </w:r>
          </w:p>
        </w:tc>
        <w:tc>
          <w:tcPr>
            <w:tcW w:w="772" w:type="dxa"/>
            <w:tcBorders>
              <w:top w:val="single" w:color="auto" w:sz="4" w:space="0"/>
              <w:left w:val="single" w:color="auto" w:sz="4" w:space="0"/>
              <w:bottom w:val="single" w:color="auto" w:sz="4" w:space="0"/>
              <w:right w:val="nil"/>
            </w:tcBorders>
            <w:hideMark/>
          </w:tcPr>
          <w:p w:rsidR="00F318B8" w:rsidP="00C22F8B" w:rsidRDefault="00F318B8" w14:paraId="46E2A4F9" w14:textId="77777777">
            <w:pPr>
              <w:autoSpaceDE w:val="0"/>
              <w:autoSpaceDN w:val="0"/>
              <w:adjustRightInd w:val="0"/>
              <w:jc w:val="center"/>
              <w:rPr>
                <w:b/>
                <w:bCs/>
              </w:rPr>
            </w:pPr>
            <w:r>
              <w:rPr>
                <w:b/>
                <w:bCs/>
              </w:rPr>
              <w:t>₵</w:t>
            </w:r>
          </w:p>
        </w:tc>
        <w:tc>
          <w:tcPr>
            <w:tcW w:w="1985" w:type="dxa"/>
            <w:tcBorders>
              <w:top w:val="single" w:color="auto" w:sz="4" w:space="0"/>
              <w:left w:val="nil"/>
              <w:bottom w:val="single" w:color="auto" w:sz="4" w:space="0"/>
              <w:right w:val="single" w:color="auto" w:sz="4" w:space="0"/>
            </w:tcBorders>
            <w:hideMark/>
          </w:tcPr>
          <w:p w:rsidR="00F318B8" w:rsidP="00C22F8B" w:rsidRDefault="00F318B8" w14:paraId="7FDFB381" w14:textId="77777777">
            <w:pPr>
              <w:autoSpaceDE w:val="0"/>
              <w:autoSpaceDN w:val="0"/>
              <w:adjustRightInd w:val="0"/>
              <w:jc w:val="right"/>
              <w:rPr>
                <w:b/>
                <w:bCs/>
              </w:rPr>
            </w:pPr>
            <w:r>
              <w:t>1 470 890 800</w:t>
            </w:r>
          </w:p>
        </w:tc>
      </w:tr>
      <w:tr w:rsidR="00F318B8" w:rsidTr="00C22F8B" w14:paraId="7FF9EF3D" w14:textId="77777777">
        <w:tc>
          <w:tcPr>
            <w:tcW w:w="2771" w:type="dxa"/>
            <w:tcBorders>
              <w:top w:val="single" w:color="auto" w:sz="4" w:space="0"/>
              <w:left w:val="single" w:color="auto" w:sz="4" w:space="0"/>
              <w:bottom w:val="single" w:color="auto" w:sz="4" w:space="0"/>
              <w:right w:val="single" w:color="auto" w:sz="4" w:space="0"/>
            </w:tcBorders>
            <w:hideMark/>
          </w:tcPr>
          <w:p w:rsidR="00F318B8" w:rsidP="00C22F8B" w:rsidRDefault="00F318B8" w14:paraId="5B178270" w14:textId="77777777">
            <w:pPr>
              <w:autoSpaceDE w:val="0"/>
              <w:autoSpaceDN w:val="0"/>
              <w:adjustRightInd w:val="0"/>
              <w:jc w:val="center"/>
              <w:rPr>
                <w:b/>
                <w:bCs/>
              </w:rPr>
            </w:pPr>
            <w:r>
              <w:rPr>
                <w:b/>
                <w:bCs/>
              </w:rPr>
              <w:t>Contribución del 20%</w:t>
            </w:r>
          </w:p>
        </w:tc>
        <w:tc>
          <w:tcPr>
            <w:tcW w:w="772" w:type="dxa"/>
            <w:tcBorders>
              <w:top w:val="single" w:color="auto" w:sz="4" w:space="0"/>
              <w:left w:val="single" w:color="auto" w:sz="4" w:space="0"/>
              <w:bottom w:val="single" w:color="auto" w:sz="4" w:space="0"/>
              <w:right w:val="nil"/>
            </w:tcBorders>
            <w:hideMark/>
          </w:tcPr>
          <w:p w:rsidR="00F318B8" w:rsidP="00C22F8B" w:rsidRDefault="00F318B8" w14:paraId="2FF3F5A1" w14:textId="77777777">
            <w:pPr>
              <w:autoSpaceDE w:val="0"/>
              <w:autoSpaceDN w:val="0"/>
              <w:adjustRightInd w:val="0"/>
              <w:jc w:val="center"/>
              <w:rPr>
                <w:b/>
                <w:bCs/>
              </w:rPr>
            </w:pPr>
            <w:r>
              <w:rPr>
                <w:b/>
                <w:bCs/>
              </w:rPr>
              <w:t>₵</w:t>
            </w:r>
          </w:p>
        </w:tc>
        <w:tc>
          <w:tcPr>
            <w:tcW w:w="1985" w:type="dxa"/>
            <w:tcBorders>
              <w:top w:val="single" w:color="auto" w:sz="4" w:space="0"/>
              <w:left w:val="nil"/>
              <w:bottom w:val="single" w:color="auto" w:sz="4" w:space="0"/>
              <w:right w:val="single" w:color="auto" w:sz="4" w:space="0"/>
            </w:tcBorders>
            <w:hideMark/>
          </w:tcPr>
          <w:p w:rsidR="00F318B8" w:rsidP="00C22F8B" w:rsidRDefault="00F318B8" w14:paraId="3D22ED64" w14:textId="77777777">
            <w:pPr>
              <w:autoSpaceDE w:val="0"/>
              <w:autoSpaceDN w:val="0"/>
              <w:adjustRightInd w:val="0"/>
              <w:jc w:val="right"/>
              <w:rPr>
                <w:b/>
                <w:bCs/>
              </w:rPr>
            </w:pPr>
            <w:r>
              <w:rPr>
                <w:b/>
                <w:bCs/>
              </w:rPr>
              <w:t xml:space="preserve">      </w:t>
            </w:r>
            <w:r>
              <w:t>294 178 160</w:t>
            </w:r>
          </w:p>
        </w:tc>
      </w:tr>
    </w:tbl>
    <w:p w:rsidR="00F318B8" w:rsidP="00F318B8" w:rsidRDefault="00F318B8" w14:paraId="325BF62A" w14:textId="77777777">
      <w:pPr>
        <w:autoSpaceDE w:val="0"/>
        <w:autoSpaceDN w:val="0"/>
        <w:adjustRightInd w:val="0"/>
        <w:spacing w:line="240" w:lineRule="auto"/>
        <w:jc w:val="center"/>
        <w:rPr>
          <w:b/>
          <w:bCs/>
          <w:highlight w:val="yellow"/>
        </w:rPr>
      </w:pPr>
    </w:p>
    <w:p w:rsidRPr="00B64CD7" w:rsidR="00F318B8" w:rsidP="00B64CD7" w:rsidRDefault="00F318B8" w14:paraId="0CFF7E9B" w14:textId="1FA18FDC">
      <w:pPr>
        <w:pStyle w:val="Prrafodelista"/>
        <w:numPr>
          <w:ilvl w:val="0"/>
          <w:numId w:val="6"/>
        </w:numPr>
      </w:pPr>
      <w:r w:rsidRPr="00B64CD7">
        <w:t xml:space="preserve">Que la cantidad de sujetos inscritos al 31 de diciembre de 2021, a los que se les debe realizar el cobro del canon es </w:t>
      </w:r>
      <w:proofErr w:type="gramStart"/>
      <w:r w:rsidRPr="00B64CD7">
        <w:t>de  4.646</w:t>
      </w:r>
      <w:proofErr w:type="gramEnd"/>
      <w:r w:rsidRPr="00B64CD7">
        <w:t xml:space="preserve"> y se clasifican de la siguiente forma:</w:t>
      </w:r>
    </w:p>
    <w:p w:rsidR="00F318B8" w:rsidP="00B64CD7" w:rsidRDefault="00F318B8" w14:paraId="40A8AF84" w14:textId="77777777">
      <w:pPr>
        <w:pStyle w:val="Prrafodelista"/>
        <w:jc w:val="center"/>
        <w:rPr>
          <w:rFonts w:ascii="Cambria" w:hAnsi="Cambria"/>
        </w:rPr>
      </w:pPr>
    </w:p>
    <w:tbl>
      <w:tblPr>
        <w:tblStyle w:val="Tablaconcuadrcula"/>
        <w:tblW w:w="0" w:type="auto"/>
        <w:tblInd w:w="2263" w:type="dxa"/>
        <w:tblLayout w:type="fixed"/>
        <w:tblLook w:val="04A0" w:firstRow="1" w:lastRow="0" w:firstColumn="1" w:lastColumn="0" w:noHBand="0" w:noVBand="1"/>
      </w:tblPr>
      <w:tblGrid>
        <w:gridCol w:w="2693"/>
        <w:gridCol w:w="1843"/>
      </w:tblGrid>
      <w:tr w:rsidR="00F318B8" w:rsidTr="00C22F8B" w14:paraId="449AEAF8" w14:textId="77777777">
        <w:tc>
          <w:tcPr>
            <w:tcW w:w="2693" w:type="dxa"/>
            <w:tcBorders>
              <w:top w:val="single" w:color="auto" w:sz="4" w:space="0"/>
              <w:left w:val="single" w:color="auto" w:sz="4" w:space="0"/>
              <w:bottom w:val="single" w:color="auto" w:sz="4" w:space="0"/>
              <w:right w:val="single" w:color="auto" w:sz="4" w:space="0"/>
            </w:tcBorders>
            <w:hideMark/>
          </w:tcPr>
          <w:p w:rsidR="00F318B8" w:rsidP="00B64CD7" w:rsidRDefault="00F318B8" w14:paraId="22621F11" w14:textId="77777777">
            <w:pPr>
              <w:jc w:val="center"/>
              <w:rPr>
                <w:b/>
                <w:bCs/>
                <w:i/>
                <w:iCs/>
              </w:rPr>
            </w:pPr>
            <w:r>
              <w:rPr>
                <w:b/>
                <w:bCs/>
                <w:iCs/>
              </w:rPr>
              <w:t>Sujetos obligados</w:t>
            </w:r>
          </w:p>
        </w:tc>
        <w:tc>
          <w:tcPr>
            <w:tcW w:w="1843" w:type="dxa"/>
            <w:tcBorders>
              <w:top w:val="single" w:color="auto" w:sz="4" w:space="0"/>
              <w:left w:val="single" w:color="auto" w:sz="4" w:space="0"/>
              <w:bottom w:val="single" w:color="auto" w:sz="4" w:space="0"/>
              <w:right w:val="single" w:color="auto" w:sz="4" w:space="0"/>
            </w:tcBorders>
            <w:hideMark/>
          </w:tcPr>
          <w:p w:rsidR="00F318B8" w:rsidP="00B64CD7" w:rsidRDefault="00F318B8" w14:paraId="294E86ED" w14:textId="77777777">
            <w:pPr>
              <w:jc w:val="center"/>
              <w:rPr>
                <w:b/>
                <w:bCs/>
              </w:rPr>
            </w:pPr>
            <w:r>
              <w:rPr>
                <w:b/>
                <w:bCs/>
              </w:rPr>
              <w:t>Cantidad</w:t>
            </w:r>
          </w:p>
        </w:tc>
      </w:tr>
      <w:tr w:rsidR="00F318B8" w:rsidTr="00C22F8B" w14:paraId="3A2E1E12" w14:textId="77777777">
        <w:tc>
          <w:tcPr>
            <w:tcW w:w="2693" w:type="dxa"/>
            <w:tcBorders>
              <w:top w:val="single" w:color="auto" w:sz="4" w:space="0"/>
              <w:left w:val="single" w:color="auto" w:sz="4" w:space="0"/>
              <w:bottom w:val="single" w:color="auto" w:sz="4" w:space="0"/>
              <w:right w:val="single" w:color="auto" w:sz="4" w:space="0"/>
            </w:tcBorders>
            <w:hideMark/>
          </w:tcPr>
          <w:p w:rsidR="00F318B8" w:rsidP="00C22F8B" w:rsidRDefault="00F318B8" w14:paraId="063500C4" w14:textId="77777777">
            <w:pPr>
              <w:ind w:left="567" w:hanging="567"/>
              <w:jc w:val="center"/>
              <w:rPr>
                <w:b/>
                <w:bCs/>
                <w:i/>
                <w:iCs/>
              </w:rPr>
            </w:pPr>
            <w:r>
              <w:rPr>
                <w:bCs/>
                <w:iCs/>
              </w:rPr>
              <w:t>Tipo 1</w:t>
            </w:r>
          </w:p>
        </w:tc>
        <w:tc>
          <w:tcPr>
            <w:tcW w:w="1843" w:type="dxa"/>
            <w:tcBorders>
              <w:top w:val="single" w:color="auto" w:sz="4" w:space="0"/>
              <w:left w:val="single" w:color="auto" w:sz="4" w:space="0"/>
              <w:bottom w:val="single" w:color="auto" w:sz="4" w:space="0"/>
              <w:right w:val="single" w:color="auto" w:sz="4" w:space="0"/>
            </w:tcBorders>
            <w:vAlign w:val="bottom"/>
            <w:hideMark/>
          </w:tcPr>
          <w:p w:rsidR="00F318B8" w:rsidP="00C22F8B" w:rsidRDefault="00F318B8" w14:paraId="3A6B1C6C" w14:textId="77777777">
            <w:pPr>
              <w:pStyle w:val="Prrafodelista"/>
              <w:ind w:left="0"/>
              <w:jc w:val="right"/>
              <w:rPr>
                <w:rFonts w:ascii="Cambria" w:hAnsi="Cambria"/>
                <w:bCs/>
                <w:iCs/>
              </w:rPr>
            </w:pPr>
            <w:r>
              <w:rPr>
                <w:rFonts w:ascii="Cambria" w:hAnsi="Cambria"/>
                <w:bCs/>
                <w:iCs/>
              </w:rPr>
              <w:t>76</w:t>
            </w:r>
          </w:p>
        </w:tc>
      </w:tr>
      <w:tr w:rsidR="00F318B8" w:rsidTr="00C22F8B" w14:paraId="40AFEEB9" w14:textId="77777777">
        <w:tc>
          <w:tcPr>
            <w:tcW w:w="2693" w:type="dxa"/>
            <w:tcBorders>
              <w:top w:val="single" w:color="auto" w:sz="4" w:space="0"/>
              <w:left w:val="single" w:color="auto" w:sz="4" w:space="0"/>
              <w:bottom w:val="single" w:color="auto" w:sz="4" w:space="0"/>
              <w:right w:val="single" w:color="auto" w:sz="4" w:space="0"/>
            </w:tcBorders>
            <w:hideMark/>
          </w:tcPr>
          <w:p w:rsidR="00F318B8" w:rsidP="00C22F8B" w:rsidRDefault="00F318B8" w14:paraId="16447348" w14:textId="77777777">
            <w:pPr>
              <w:jc w:val="center"/>
              <w:rPr>
                <w:b/>
                <w:bCs/>
                <w:i/>
                <w:iCs/>
              </w:rPr>
            </w:pPr>
            <w:r>
              <w:rPr>
                <w:bCs/>
                <w:iCs/>
              </w:rPr>
              <w:t>Tipo 2</w:t>
            </w:r>
          </w:p>
        </w:tc>
        <w:tc>
          <w:tcPr>
            <w:tcW w:w="1843" w:type="dxa"/>
            <w:tcBorders>
              <w:top w:val="single" w:color="auto" w:sz="4" w:space="0"/>
              <w:left w:val="single" w:color="auto" w:sz="4" w:space="0"/>
              <w:bottom w:val="single" w:color="auto" w:sz="4" w:space="0"/>
              <w:right w:val="single" w:color="auto" w:sz="4" w:space="0"/>
            </w:tcBorders>
            <w:vAlign w:val="bottom"/>
            <w:hideMark/>
          </w:tcPr>
          <w:p w:rsidR="00F318B8" w:rsidP="00C22F8B" w:rsidRDefault="00F318B8" w14:paraId="5B07435B" w14:textId="77777777">
            <w:pPr>
              <w:pStyle w:val="Prrafodelista"/>
              <w:ind w:left="0"/>
              <w:jc w:val="right"/>
              <w:rPr>
                <w:rFonts w:ascii="Cambria" w:hAnsi="Cambria"/>
                <w:bCs/>
                <w:iCs/>
              </w:rPr>
            </w:pPr>
            <w:r>
              <w:rPr>
                <w:rFonts w:ascii="Cambria" w:hAnsi="Cambria"/>
                <w:bCs/>
                <w:iCs/>
              </w:rPr>
              <w:t>251</w:t>
            </w:r>
          </w:p>
        </w:tc>
      </w:tr>
      <w:tr w:rsidR="00F318B8" w:rsidTr="00C22F8B" w14:paraId="027237B0" w14:textId="77777777">
        <w:tc>
          <w:tcPr>
            <w:tcW w:w="2693" w:type="dxa"/>
            <w:tcBorders>
              <w:top w:val="single" w:color="auto" w:sz="4" w:space="0"/>
              <w:left w:val="single" w:color="auto" w:sz="4" w:space="0"/>
              <w:bottom w:val="single" w:color="auto" w:sz="4" w:space="0"/>
              <w:right w:val="single" w:color="auto" w:sz="4" w:space="0"/>
            </w:tcBorders>
            <w:hideMark/>
          </w:tcPr>
          <w:p w:rsidR="00F318B8" w:rsidP="00C22F8B" w:rsidRDefault="00F318B8" w14:paraId="386601EE" w14:textId="77777777">
            <w:pPr>
              <w:jc w:val="center"/>
              <w:rPr>
                <w:b/>
                <w:bCs/>
                <w:i/>
                <w:iCs/>
              </w:rPr>
            </w:pPr>
            <w:r>
              <w:rPr>
                <w:bCs/>
                <w:iCs/>
              </w:rPr>
              <w:t>Tipo 3</w:t>
            </w:r>
          </w:p>
        </w:tc>
        <w:tc>
          <w:tcPr>
            <w:tcW w:w="1843" w:type="dxa"/>
            <w:tcBorders>
              <w:top w:val="single" w:color="auto" w:sz="4" w:space="0"/>
              <w:left w:val="single" w:color="auto" w:sz="4" w:space="0"/>
              <w:bottom w:val="single" w:color="auto" w:sz="4" w:space="0"/>
              <w:right w:val="single" w:color="auto" w:sz="4" w:space="0"/>
            </w:tcBorders>
            <w:vAlign w:val="bottom"/>
            <w:hideMark/>
          </w:tcPr>
          <w:p w:rsidR="00F318B8" w:rsidP="00C22F8B" w:rsidRDefault="00F318B8" w14:paraId="3C64CF51" w14:textId="77777777">
            <w:pPr>
              <w:pStyle w:val="Prrafodelista"/>
              <w:ind w:left="0"/>
              <w:jc w:val="right"/>
              <w:rPr>
                <w:rFonts w:ascii="Cambria" w:hAnsi="Cambria"/>
                <w:bCs/>
                <w:iCs/>
              </w:rPr>
            </w:pPr>
            <w:r>
              <w:rPr>
                <w:rFonts w:ascii="Cambria" w:hAnsi="Cambria"/>
                <w:bCs/>
                <w:iCs/>
              </w:rPr>
              <w:t>4.319</w:t>
            </w:r>
          </w:p>
        </w:tc>
      </w:tr>
      <w:tr w:rsidR="00F318B8" w:rsidTr="00C22F8B" w14:paraId="56AC6814" w14:textId="77777777">
        <w:tc>
          <w:tcPr>
            <w:tcW w:w="2693" w:type="dxa"/>
            <w:tcBorders>
              <w:top w:val="single" w:color="auto" w:sz="4" w:space="0"/>
              <w:left w:val="single" w:color="auto" w:sz="4" w:space="0"/>
              <w:bottom w:val="single" w:color="auto" w:sz="4" w:space="0"/>
              <w:right w:val="single" w:color="auto" w:sz="4" w:space="0"/>
            </w:tcBorders>
            <w:hideMark/>
          </w:tcPr>
          <w:p w:rsidRPr="001245B9" w:rsidR="00F318B8" w:rsidP="00C22F8B" w:rsidRDefault="00F318B8" w14:paraId="72CF0592" w14:textId="77777777">
            <w:pPr>
              <w:jc w:val="center"/>
              <w:rPr>
                <w:b/>
                <w:bCs/>
              </w:rPr>
            </w:pPr>
            <w:r w:rsidRPr="001245B9">
              <w:rPr>
                <w:b/>
                <w:bCs/>
              </w:rPr>
              <w:t>Total</w:t>
            </w:r>
          </w:p>
        </w:tc>
        <w:tc>
          <w:tcPr>
            <w:tcW w:w="1843" w:type="dxa"/>
            <w:tcBorders>
              <w:top w:val="single" w:color="auto" w:sz="4" w:space="0"/>
              <w:left w:val="single" w:color="auto" w:sz="4" w:space="0"/>
              <w:bottom w:val="single" w:color="auto" w:sz="4" w:space="0"/>
              <w:right w:val="single" w:color="auto" w:sz="4" w:space="0"/>
            </w:tcBorders>
            <w:vAlign w:val="bottom"/>
            <w:hideMark/>
          </w:tcPr>
          <w:p w:rsidR="00F318B8" w:rsidP="00C22F8B" w:rsidRDefault="00F318B8" w14:paraId="0B159972" w14:textId="77777777">
            <w:pPr>
              <w:pStyle w:val="Prrafodelista"/>
              <w:ind w:left="0"/>
              <w:jc w:val="right"/>
              <w:rPr>
                <w:rFonts w:ascii="Cambria" w:hAnsi="Cambria"/>
                <w:b/>
                <w:iCs/>
              </w:rPr>
            </w:pPr>
            <w:r>
              <w:t>4.646</w:t>
            </w:r>
          </w:p>
        </w:tc>
      </w:tr>
    </w:tbl>
    <w:p w:rsidR="00F318B8" w:rsidP="00F318B8" w:rsidRDefault="00F318B8" w14:paraId="2F21B3EA" w14:textId="77777777">
      <w:pPr>
        <w:pStyle w:val="Prrafodelista"/>
        <w:ind w:left="570"/>
        <w:contextualSpacing/>
        <w:jc w:val="both"/>
        <w:rPr>
          <w:rFonts w:ascii="Cambria" w:hAnsi="Cambria"/>
          <w:b/>
          <w:bCs/>
          <w:i/>
          <w:iCs/>
        </w:rPr>
      </w:pPr>
    </w:p>
    <w:p w:rsidRPr="00B64CD7" w:rsidR="00F318B8" w:rsidP="00F318B8" w:rsidRDefault="00F318B8" w14:paraId="3AFFDA05" w14:textId="77777777">
      <w:pPr>
        <w:pStyle w:val="Default"/>
        <w:rPr>
          <w:rFonts w:ascii="Cambria" w:hAnsi="Cambria" w:eastAsia="Times New Roman" w:cs="Times New Roman"/>
          <w:bCs/>
          <w:iCs/>
          <w:color w:val="auto"/>
          <w:sz w:val="22"/>
          <w:szCs w:val="22"/>
          <w:lang w:val="es-ES" w:eastAsia="es-ES"/>
        </w:rPr>
      </w:pPr>
    </w:p>
    <w:p w:rsidRPr="00B64CD7" w:rsidR="00F318B8" w:rsidP="00F318B8" w:rsidRDefault="00F318B8" w14:paraId="045BCCA2" w14:textId="77777777">
      <w:pPr>
        <w:rPr>
          <w:b/>
          <w:sz w:val="24"/>
        </w:rPr>
      </w:pPr>
      <w:r w:rsidRPr="00B64CD7">
        <w:rPr>
          <w:b/>
          <w:sz w:val="24"/>
        </w:rPr>
        <w:t>Dispone:</w:t>
      </w:r>
    </w:p>
    <w:p w:rsidR="00F318B8" w:rsidP="00F318B8" w:rsidRDefault="00F318B8" w14:paraId="50C61C05" w14:textId="77777777">
      <w:pPr>
        <w:rPr>
          <w:bCs/>
          <w:iCs/>
        </w:rPr>
      </w:pPr>
    </w:p>
    <w:p w:rsidR="00F318B8" w:rsidP="00F318B8" w:rsidRDefault="00F318B8" w14:paraId="5B2DDC5B" w14:textId="77777777">
      <w:pPr>
        <w:pStyle w:val="Prrafodelista"/>
        <w:numPr>
          <w:ilvl w:val="0"/>
          <w:numId w:val="5"/>
        </w:numPr>
        <w:rPr>
          <w:rFonts w:ascii="Cambria" w:hAnsi="Cambria"/>
          <w:b/>
          <w:bCs/>
        </w:rPr>
      </w:pPr>
      <w:r>
        <w:rPr>
          <w:rFonts w:ascii="Cambria" w:hAnsi="Cambria"/>
          <w:b/>
          <w:bCs/>
        </w:rPr>
        <w:t>C</w:t>
      </w:r>
      <w:r w:rsidRPr="003260C0">
        <w:rPr>
          <w:rFonts w:ascii="Cambria" w:hAnsi="Cambria"/>
          <w:b/>
          <w:bCs/>
        </w:rPr>
        <w:t>anon según el tipo de sujeto obligado</w:t>
      </w:r>
    </w:p>
    <w:p w:rsidRPr="003260C0" w:rsidR="00F318B8" w:rsidP="00F318B8" w:rsidRDefault="00F318B8" w14:paraId="096B8885" w14:textId="77777777">
      <w:pPr>
        <w:rPr>
          <w:b/>
          <w:bCs/>
        </w:rPr>
      </w:pPr>
    </w:p>
    <w:p w:rsidR="00F318B8" w:rsidP="00F318B8" w:rsidRDefault="00F318B8" w14:paraId="7D611AA6" w14:textId="77777777">
      <w:pPr>
        <w:pStyle w:val="Prrafodelista"/>
        <w:spacing w:after="160" w:line="259" w:lineRule="auto"/>
        <w:ind w:left="720"/>
        <w:contextualSpacing/>
        <w:jc w:val="both"/>
        <w:rPr>
          <w:rFonts w:ascii="Cambria" w:hAnsi="Cambria"/>
          <w:b/>
          <w:iCs/>
        </w:rPr>
      </w:pPr>
      <w:r w:rsidRPr="003260C0">
        <w:rPr>
          <w:rFonts w:ascii="Cambria" w:hAnsi="Cambria"/>
          <w:bCs/>
          <w:iCs/>
        </w:rPr>
        <w:t xml:space="preserve">Que de acuerdo con la aplicación de la Metodología para el cálculo del canon para la contribución de los sujetos obligados por los artículos 15 y 15 bis de la Ley 7786, al financiamiento del presupuesto de la Superintendencia General de Entidades Financieras, el Conassif </w:t>
      </w:r>
      <w:r>
        <w:rPr>
          <w:rFonts w:ascii="Cambria" w:hAnsi="Cambria"/>
          <w:bCs/>
          <w:iCs/>
        </w:rPr>
        <w:t xml:space="preserve">aprobó </w:t>
      </w:r>
      <w:r w:rsidRPr="003260C0">
        <w:rPr>
          <w:rFonts w:ascii="Cambria" w:hAnsi="Cambria"/>
          <w:bCs/>
          <w:iCs/>
        </w:rPr>
        <w:t xml:space="preserve">en </w:t>
      </w:r>
      <w:r w:rsidRPr="00750C9A">
        <w:rPr>
          <w:rFonts w:ascii="Cambria" w:hAnsi="Cambria"/>
          <w:bCs/>
          <w:iCs/>
        </w:rPr>
        <w:t xml:space="preserve">sesión </w:t>
      </w:r>
      <w:r>
        <w:rPr>
          <w:rFonts w:ascii="Cambria" w:hAnsi="Cambria"/>
          <w:bCs/>
          <w:iCs/>
        </w:rPr>
        <w:t>1717-2022</w:t>
      </w:r>
      <w:r w:rsidRPr="00750C9A">
        <w:rPr>
          <w:rFonts w:ascii="Cambria" w:hAnsi="Cambria"/>
          <w:bCs/>
          <w:iCs/>
        </w:rPr>
        <w:t xml:space="preserve"> del </w:t>
      </w:r>
      <w:r>
        <w:rPr>
          <w:rFonts w:ascii="Cambria" w:hAnsi="Cambria"/>
          <w:bCs/>
          <w:iCs/>
        </w:rPr>
        <w:t>28 de febrero del 2022</w:t>
      </w:r>
      <w:r w:rsidRPr="003260C0">
        <w:rPr>
          <w:rFonts w:ascii="Cambria" w:hAnsi="Cambria"/>
          <w:bCs/>
          <w:iCs/>
        </w:rPr>
        <w:t xml:space="preserve">, </w:t>
      </w:r>
      <w:r w:rsidRPr="003260C0">
        <w:rPr>
          <w:rFonts w:ascii="Cambria" w:hAnsi="Cambria"/>
          <w:b/>
          <w:iCs/>
        </w:rPr>
        <w:t xml:space="preserve">el monto del canon por Tipo </w:t>
      </w:r>
      <w:r>
        <w:rPr>
          <w:rFonts w:ascii="Cambria" w:hAnsi="Cambria"/>
          <w:b/>
          <w:iCs/>
        </w:rPr>
        <w:t xml:space="preserve">de sujeto obligado </w:t>
      </w:r>
      <w:r w:rsidRPr="003260C0">
        <w:rPr>
          <w:rFonts w:ascii="Cambria" w:hAnsi="Cambria"/>
          <w:b/>
          <w:iCs/>
        </w:rPr>
        <w:t xml:space="preserve">para el período </w:t>
      </w:r>
      <w:r>
        <w:rPr>
          <w:rFonts w:ascii="Cambria" w:hAnsi="Cambria"/>
          <w:b/>
          <w:iCs/>
        </w:rPr>
        <w:t>2022</w:t>
      </w:r>
      <w:r w:rsidRPr="003260C0">
        <w:rPr>
          <w:rFonts w:ascii="Cambria" w:hAnsi="Cambria"/>
          <w:b/>
          <w:iCs/>
        </w:rPr>
        <w:t xml:space="preserve">, </w:t>
      </w:r>
      <w:r>
        <w:rPr>
          <w:rFonts w:ascii="Cambria" w:hAnsi="Cambria"/>
          <w:b/>
          <w:iCs/>
        </w:rPr>
        <w:t>de</w:t>
      </w:r>
      <w:r w:rsidRPr="003260C0">
        <w:rPr>
          <w:rFonts w:ascii="Cambria" w:hAnsi="Cambria"/>
          <w:b/>
          <w:iCs/>
        </w:rPr>
        <w:t xml:space="preserve"> </w:t>
      </w:r>
      <w:r>
        <w:rPr>
          <w:rFonts w:ascii="Cambria" w:hAnsi="Cambria"/>
          <w:b/>
          <w:iCs/>
        </w:rPr>
        <w:t xml:space="preserve">la </w:t>
      </w:r>
      <w:r w:rsidRPr="003260C0">
        <w:rPr>
          <w:rFonts w:ascii="Cambria" w:hAnsi="Cambria"/>
          <w:b/>
          <w:iCs/>
        </w:rPr>
        <w:t>siguiente</w:t>
      </w:r>
      <w:r>
        <w:rPr>
          <w:rFonts w:ascii="Cambria" w:hAnsi="Cambria"/>
          <w:b/>
          <w:iCs/>
        </w:rPr>
        <w:t xml:space="preserve"> manera</w:t>
      </w:r>
      <w:r w:rsidRPr="003260C0">
        <w:rPr>
          <w:rFonts w:ascii="Cambria" w:hAnsi="Cambria"/>
          <w:b/>
          <w:iCs/>
        </w:rPr>
        <w:t>:</w:t>
      </w:r>
    </w:p>
    <w:p w:rsidRPr="003260C0" w:rsidR="00F318B8" w:rsidP="00F318B8" w:rsidRDefault="00F318B8" w14:paraId="11484553" w14:textId="77777777">
      <w:pPr>
        <w:pStyle w:val="Prrafodelista"/>
        <w:spacing w:after="160" w:line="259" w:lineRule="auto"/>
        <w:ind w:left="720"/>
        <w:contextualSpacing/>
        <w:jc w:val="both"/>
        <w:rPr>
          <w:rFonts w:ascii="Cambria" w:hAnsi="Cambria"/>
          <w:b/>
          <w:iCs/>
        </w:rPr>
      </w:pPr>
    </w:p>
    <w:tbl>
      <w:tblPr>
        <w:tblStyle w:val="Tablaconcuadrcula"/>
        <w:tblW w:w="0" w:type="auto"/>
        <w:tblInd w:w="1838" w:type="dxa"/>
        <w:tblLook w:val="04A0" w:firstRow="1" w:lastRow="0" w:firstColumn="1" w:lastColumn="0" w:noHBand="0" w:noVBand="1"/>
      </w:tblPr>
      <w:tblGrid>
        <w:gridCol w:w="2551"/>
        <w:gridCol w:w="1843"/>
      </w:tblGrid>
      <w:tr w:rsidRPr="001E25D6" w:rsidR="00F318B8" w:rsidTr="00C22F8B" w14:paraId="7001AE57" w14:textId="77777777">
        <w:tc>
          <w:tcPr>
            <w:tcW w:w="2551" w:type="dxa"/>
          </w:tcPr>
          <w:p w:rsidRPr="001E25D6" w:rsidR="00F318B8" w:rsidP="00C22F8B" w:rsidRDefault="00F318B8" w14:paraId="1C982DBD" w14:textId="77777777">
            <w:pPr>
              <w:rPr>
                <w:b/>
                <w:bCs/>
                <w:i/>
                <w:iCs/>
              </w:rPr>
            </w:pPr>
            <w:r w:rsidRPr="001E25D6">
              <w:rPr>
                <w:b/>
                <w:bCs/>
                <w:iCs/>
              </w:rPr>
              <w:t>Sujetos obligados</w:t>
            </w:r>
          </w:p>
        </w:tc>
        <w:tc>
          <w:tcPr>
            <w:tcW w:w="1843" w:type="dxa"/>
          </w:tcPr>
          <w:p w:rsidRPr="001E25D6" w:rsidR="00F318B8" w:rsidP="00C22F8B" w:rsidRDefault="00F318B8" w14:paraId="151F6210" w14:textId="77777777">
            <w:pPr>
              <w:jc w:val="center"/>
              <w:rPr>
                <w:b/>
                <w:bCs/>
                <w:i/>
                <w:iCs/>
              </w:rPr>
            </w:pPr>
            <w:r w:rsidRPr="001E25D6">
              <w:rPr>
                <w:b/>
                <w:bCs/>
                <w:iCs/>
              </w:rPr>
              <w:t>Canon 202</w:t>
            </w:r>
            <w:r>
              <w:rPr>
                <w:b/>
                <w:bCs/>
                <w:iCs/>
              </w:rPr>
              <w:t>2</w:t>
            </w:r>
            <w:r w:rsidRPr="001E25D6">
              <w:rPr>
                <w:b/>
                <w:bCs/>
                <w:iCs/>
              </w:rPr>
              <w:t>*</w:t>
            </w:r>
          </w:p>
        </w:tc>
      </w:tr>
      <w:tr w:rsidRPr="001E25D6" w:rsidR="00F318B8" w:rsidTr="00C22F8B" w14:paraId="3E98DEAA" w14:textId="77777777">
        <w:tc>
          <w:tcPr>
            <w:tcW w:w="2551" w:type="dxa"/>
          </w:tcPr>
          <w:p w:rsidRPr="001E25D6" w:rsidR="00F318B8" w:rsidP="00C22F8B" w:rsidRDefault="00F318B8" w14:paraId="0B8A3818" w14:textId="77777777">
            <w:pPr>
              <w:ind w:left="567" w:hanging="567"/>
              <w:jc w:val="center"/>
              <w:rPr>
                <w:b/>
                <w:bCs/>
                <w:i/>
                <w:iCs/>
              </w:rPr>
            </w:pPr>
            <w:r w:rsidRPr="001E25D6">
              <w:rPr>
                <w:bCs/>
                <w:iCs/>
              </w:rPr>
              <w:t>Tipo 1</w:t>
            </w:r>
          </w:p>
        </w:tc>
        <w:tc>
          <w:tcPr>
            <w:tcW w:w="1843" w:type="dxa"/>
            <w:vAlign w:val="bottom"/>
          </w:tcPr>
          <w:p w:rsidRPr="00252354" w:rsidR="00F318B8" w:rsidP="00C22F8B" w:rsidRDefault="00F318B8" w14:paraId="5096A731" w14:textId="77777777">
            <w:pPr>
              <w:pStyle w:val="Prrafodelista"/>
              <w:ind w:left="0"/>
              <w:jc w:val="right"/>
              <w:rPr>
                <w:rFonts w:ascii="Cambria" w:hAnsi="Cambria"/>
                <w:bCs/>
                <w:iCs/>
              </w:rPr>
            </w:pPr>
            <w:r>
              <w:t>₵</w:t>
            </w:r>
            <w:r w:rsidRPr="00252354">
              <w:rPr>
                <w:rFonts w:ascii="Cambria" w:hAnsi="Cambria"/>
                <w:bCs/>
                <w:iCs/>
              </w:rPr>
              <w:t xml:space="preserve">   </w:t>
            </w:r>
            <w:r>
              <w:rPr>
                <w:rFonts w:ascii="Cambria" w:hAnsi="Cambria"/>
                <w:bCs/>
                <w:iCs/>
              </w:rPr>
              <w:t>728.483</w:t>
            </w:r>
            <w:r w:rsidRPr="00252354">
              <w:rPr>
                <w:rFonts w:ascii="Cambria" w:hAnsi="Cambria"/>
                <w:bCs/>
                <w:iCs/>
              </w:rPr>
              <w:t xml:space="preserve"> </w:t>
            </w:r>
          </w:p>
        </w:tc>
      </w:tr>
      <w:tr w:rsidRPr="001E25D6" w:rsidR="00F318B8" w:rsidTr="00C22F8B" w14:paraId="5FC22047" w14:textId="77777777">
        <w:tc>
          <w:tcPr>
            <w:tcW w:w="2551" w:type="dxa"/>
          </w:tcPr>
          <w:p w:rsidRPr="001E25D6" w:rsidR="00F318B8" w:rsidP="00C22F8B" w:rsidRDefault="00F318B8" w14:paraId="09A2EDC3" w14:textId="77777777">
            <w:pPr>
              <w:jc w:val="center"/>
              <w:rPr>
                <w:b/>
                <w:bCs/>
                <w:i/>
                <w:iCs/>
              </w:rPr>
            </w:pPr>
            <w:r w:rsidRPr="001E25D6">
              <w:rPr>
                <w:bCs/>
                <w:iCs/>
              </w:rPr>
              <w:t>Tipo 2</w:t>
            </w:r>
          </w:p>
        </w:tc>
        <w:tc>
          <w:tcPr>
            <w:tcW w:w="1843" w:type="dxa"/>
            <w:vAlign w:val="bottom"/>
          </w:tcPr>
          <w:p w:rsidRPr="00252354" w:rsidR="00F318B8" w:rsidP="00C22F8B" w:rsidRDefault="00F318B8" w14:paraId="4A8808B0" w14:textId="77777777">
            <w:pPr>
              <w:pStyle w:val="Prrafodelista"/>
              <w:ind w:left="0"/>
              <w:jc w:val="right"/>
              <w:rPr>
                <w:rFonts w:ascii="Cambria" w:hAnsi="Cambria"/>
                <w:bCs/>
                <w:iCs/>
              </w:rPr>
            </w:pPr>
            <w:r w:rsidRPr="00252354">
              <w:rPr>
                <w:rFonts w:ascii="Cambria" w:hAnsi="Cambria"/>
                <w:bCs/>
                <w:iCs/>
              </w:rPr>
              <w:t xml:space="preserve">  </w:t>
            </w:r>
            <w:r>
              <w:t>₵</w:t>
            </w:r>
            <w:r w:rsidRPr="00252354">
              <w:rPr>
                <w:rFonts w:ascii="Cambria" w:hAnsi="Cambria"/>
                <w:bCs/>
                <w:iCs/>
              </w:rPr>
              <w:t xml:space="preserve">   </w:t>
            </w:r>
            <w:r>
              <w:rPr>
                <w:rFonts w:ascii="Cambria" w:hAnsi="Cambria"/>
                <w:bCs/>
                <w:iCs/>
              </w:rPr>
              <w:t>204.337</w:t>
            </w:r>
            <w:r w:rsidRPr="00252354">
              <w:rPr>
                <w:rFonts w:ascii="Cambria" w:hAnsi="Cambria"/>
                <w:bCs/>
                <w:iCs/>
              </w:rPr>
              <w:t xml:space="preserve"> </w:t>
            </w:r>
          </w:p>
        </w:tc>
      </w:tr>
      <w:tr w:rsidRPr="001E25D6" w:rsidR="00F318B8" w:rsidTr="00C22F8B" w14:paraId="486A186E" w14:textId="77777777">
        <w:tc>
          <w:tcPr>
            <w:tcW w:w="2551" w:type="dxa"/>
          </w:tcPr>
          <w:p w:rsidRPr="001E25D6" w:rsidR="00F318B8" w:rsidP="00C22F8B" w:rsidRDefault="00F318B8" w14:paraId="355D238D" w14:textId="77777777">
            <w:pPr>
              <w:jc w:val="center"/>
              <w:rPr>
                <w:b/>
                <w:bCs/>
                <w:i/>
                <w:iCs/>
              </w:rPr>
            </w:pPr>
            <w:r w:rsidRPr="001E25D6">
              <w:rPr>
                <w:bCs/>
                <w:iCs/>
              </w:rPr>
              <w:t>Tipo 3</w:t>
            </w:r>
          </w:p>
        </w:tc>
        <w:tc>
          <w:tcPr>
            <w:tcW w:w="1843" w:type="dxa"/>
            <w:vAlign w:val="bottom"/>
          </w:tcPr>
          <w:p w:rsidRPr="00252354" w:rsidR="00F318B8" w:rsidP="00C22F8B" w:rsidRDefault="00F318B8" w14:paraId="5129B74E" w14:textId="77777777">
            <w:pPr>
              <w:pStyle w:val="Prrafodelista"/>
              <w:ind w:left="0"/>
              <w:jc w:val="right"/>
              <w:rPr>
                <w:rFonts w:ascii="Cambria" w:hAnsi="Cambria"/>
                <w:bCs/>
                <w:iCs/>
              </w:rPr>
            </w:pPr>
            <w:r>
              <w:t>₵</w:t>
            </w:r>
            <w:r w:rsidRPr="00252354">
              <w:rPr>
                <w:rFonts w:ascii="Cambria" w:hAnsi="Cambria"/>
                <w:bCs/>
                <w:iCs/>
              </w:rPr>
              <w:t xml:space="preserve">     </w:t>
            </w:r>
            <w:r>
              <w:rPr>
                <w:rFonts w:ascii="Cambria" w:hAnsi="Cambria"/>
                <w:bCs/>
                <w:iCs/>
              </w:rPr>
              <w:t>43.419</w:t>
            </w:r>
            <w:r w:rsidRPr="00252354">
              <w:rPr>
                <w:rFonts w:ascii="Cambria" w:hAnsi="Cambria"/>
                <w:bCs/>
                <w:iCs/>
              </w:rPr>
              <w:t xml:space="preserve"> </w:t>
            </w:r>
          </w:p>
        </w:tc>
      </w:tr>
    </w:tbl>
    <w:p w:rsidR="00F318B8" w:rsidP="00F318B8" w:rsidRDefault="00F318B8" w14:paraId="29381FC9" w14:textId="77777777">
      <w:pPr>
        <w:ind w:left="1776"/>
        <w:rPr>
          <w:bCs/>
          <w:sz w:val="18"/>
          <w:szCs w:val="18"/>
        </w:rPr>
      </w:pPr>
      <w:r w:rsidRPr="001E25D6">
        <w:rPr>
          <w:bCs/>
          <w:sz w:val="18"/>
          <w:szCs w:val="18"/>
        </w:rPr>
        <w:t>*En colones costarricenses</w:t>
      </w:r>
    </w:p>
    <w:p w:rsidR="00F318B8" w:rsidP="00F318B8" w:rsidRDefault="00F318B8" w14:paraId="6928241B" w14:textId="77777777">
      <w:pPr>
        <w:rPr>
          <w:bCs/>
          <w:iCs/>
        </w:rPr>
      </w:pPr>
    </w:p>
    <w:p w:rsidRPr="001F5E59" w:rsidR="00F318B8" w:rsidP="00F318B8" w:rsidRDefault="00F318B8" w14:paraId="43FE0197" w14:textId="77777777">
      <w:pPr>
        <w:ind w:left="708"/>
        <w:rPr>
          <w:bCs/>
          <w:iCs/>
        </w:rPr>
      </w:pPr>
      <w:r>
        <w:rPr>
          <w:bCs/>
          <w:iCs/>
        </w:rPr>
        <w:t>Los sujetos inscritos durante el año 2022 deben pagar una fracción del monto total correspondiente a su tipo, equivalente a la proporción de la cantidad de días en que han estado inscritos durante el año.  El monto a pagar por cada sujeto obligado se puede consultar en el Sistema de Inscripción, en el ícono “Estado de Cuenta”.</w:t>
      </w:r>
    </w:p>
    <w:p w:rsidRPr="00A36395" w:rsidR="00F318B8" w:rsidP="00F318B8" w:rsidRDefault="00F318B8" w14:paraId="028FD946" w14:textId="77777777">
      <w:pPr>
        <w:contextualSpacing/>
        <w:rPr>
          <w:b/>
          <w:bCs/>
          <w:i/>
          <w:iCs/>
        </w:rPr>
      </w:pPr>
    </w:p>
    <w:p w:rsidRPr="002008A9" w:rsidR="00F318B8" w:rsidP="00F318B8" w:rsidRDefault="00F318B8" w14:paraId="638EF69E" w14:textId="77777777">
      <w:pPr>
        <w:pStyle w:val="Prrafodelista"/>
        <w:numPr>
          <w:ilvl w:val="0"/>
          <w:numId w:val="5"/>
        </w:numPr>
        <w:jc w:val="both"/>
        <w:rPr>
          <w:rFonts w:ascii="Cambria" w:hAnsi="Cambria"/>
          <w:b/>
          <w:bCs/>
        </w:rPr>
      </w:pPr>
      <w:bookmarkStart w:name="_Hlk86824149" w:id="2"/>
      <w:r>
        <w:rPr>
          <w:rFonts w:ascii="Cambria" w:hAnsi="Cambria"/>
          <w:b/>
          <w:bCs/>
        </w:rPr>
        <w:t>De</w:t>
      </w:r>
      <w:r w:rsidRPr="002008A9">
        <w:rPr>
          <w:rFonts w:ascii="Cambria" w:hAnsi="Cambria"/>
          <w:b/>
          <w:bCs/>
        </w:rPr>
        <w:t>signación de la cuenta bancaria</w:t>
      </w:r>
      <w:r>
        <w:rPr>
          <w:rFonts w:ascii="Cambria" w:hAnsi="Cambria"/>
          <w:b/>
          <w:bCs/>
        </w:rPr>
        <w:t xml:space="preserve"> para cobro del canon y ejecución del cobro</w:t>
      </w:r>
    </w:p>
    <w:p w:rsidRPr="002008A9" w:rsidR="00F318B8" w:rsidP="00F318B8" w:rsidRDefault="00F318B8" w14:paraId="7E980156" w14:textId="77777777">
      <w:pPr>
        <w:rPr>
          <w:sz w:val="24"/>
          <w:lang w:eastAsia="es-ES"/>
        </w:rPr>
      </w:pPr>
    </w:p>
    <w:p w:rsidR="00F318B8" w:rsidP="00F318B8" w:rsidRDefault="00F318B8" w14:paraId="28782D57" w14:textId="77777777">
      <w:pPr>
        <w:pStyle w:val="Prrafodelista"/>
        <w:numPr>
          <w:ilvl w:val="0"/>
          <w:numId w:val="7"/>
        </w:numPr>
        <w:contextualSpacing/>
        <w:jc w:val="both"/>
        <w:rPr>
          <w:rFonts w:ascii="Cambria" w:hAnsi="Cambria"/>
          <w:bCs/>
          <w:iCs/>
        </w:rPr>
      </w:pPr>
      <w:r w:rsidRPr="003260C0">
        <w:rPr>
          <w:rFonts w:ascii="Cambria" w:hAnsi="Cambria"/>
          <w:bCs/>
          <w:iCs/>
        </w:rPr>
        <w:t xml:space="preserve">Los sujetos inscritos que a la fecha de esta </w:t>
      </w:r>
      <w:r>
        <w:rPr>
          <w:rFonts w:ascii="Cambria" w:hAnsi="Cambria"/>
          <w:bCs/>
          <w:iCs/>
        </w:rPr>
        <w:t>circular</w:t>
      </w:r>
      <w:r w:rsidRPr="003260C0">
        <w:rPr>
          <w:rFonts w:ascii="Cambria" w:hAnsi="Cambria"/>
          <w:bCs/>
          <w:iCs/>
        </w:rPr>
        <w:t xml:space="preserve"> no hayan suministrado la información de la cuenta corriente o de ahorros </w:t>
      </w:r>
      <w:bookmarkStart w:name="_Hlk86862171" w:id="3"/>
      <w:r w:rsidRPr="003260C0">
        <w:rPr>
          <w:rFonts w:ascii="Cambria" w:hAnsi="Cambria"/>
          <w:bCs/>
          <w:iCs/>
        </w:rPr>
        <w:t>sobre la cual se debe de ejecutar el cobro del canon</w:t>
      </w:r>
      <w:bookmarkEnd w:id="3"/>
      <w:r w:rsidRPr="003260C0">
        <w:rPr>
          <w:rFonts w:ascii="Cambria" w:hAnsi="Cambria"/>
          <w:bCs/>
          <w:iCs/>
        </w:rPr>
        <w:t xml:space="preserve">, </w:t>
      </w:r>
      <w:r w:rsidRPr="00A4276A">
        <w:rPr>
          <w:rFonts w:ascii="Cambria" w:hAnsi="Cambria"/>
          <w:b/>
          <w:iCs/>
        </w:rPr>
        <w:t xml:space="preserve">tendrán hasta el próximo </w:t>
      </w:r>
      <w:r>
        <w:rPr>
          <w:rFonts w:ascii="Cambria" w:hAnsi="Cambria"/>
          <w:b/>
          <w:iCs/>
        </w:rPr>
        <w:t>29 de abril del 2022,</w:t>
      </w:r>
      <w:r w:rsidRPr="00A4276A">
        <w:rPr>
          <w:rFonts w:ascii="Cambria" w:hAnsi="Cambria"/>
          <w:b/>
          <w:iCs/>
        </w:rPr>
        <w:t xml:space="preserve"> para suministrar esta información</w:t>
      </w:r>
      <w:r w:rsidRPr="003260C0">
        <w:rPr>
          <w:rFonts w:ascii="Cambria" w:hAnsi="Cambria"/>
          <w:bCs/>
          <w:iCs/>
        </w:rPr>
        <w:t xml:space="preserve"> y para autorizar el cobro por medio de</w:t>
      </w:r>
      <w:r>
        <w:rPr>
          <w:rFonts w:ascii="Cambria" w:hAnsi="Cambria"/>
          <w:bCs/>
          <w:iCs/>
        </w:rPr>
        <w:t xml:space="preserve"> la plataforma </w:t>
      </w:r>
      <w:r>
        <w:rPr>
          <w:rFonts w:ascii="Cambria" w:hAnsi="Cambria"/>
          <w:bCs/>
          <w:iCs/>
          <w:u w:val="single"/>
        </w:rPr>
        <w:t xml:space="preserve">SUGEF </w:t>
      </w:r>
      <w:r w:rsidRPr="00E25E83">
        <w:rPr>
          <w:rFonts w:ascii="Cambria" w:hAnsi="Cambria"/>
          <w:bCs/>
          <w:iCs/>
          <w:u w:val="single"/>
        </w:rPr>
        <w:t>Directo</w:t>
      </w:r>
      <w:r w:rsidRPr="003260C0">
        <w:rPr>
          <w:rFonts w:ascii="Cambria" w:hAnsi="Cambria"/>
          <w:bCs/>
          <w:iCs/>
        </w:rPr>
        <w:t xml:space="preserve">; </w:t>
      </w:r>
      <w:r w:rsidRPr="00140642">
        <w:rPr>
          <w:rFonts w:ascii="Cambria" w:hAnsi="Cambria"/>
          <w:b/>
          <w:iCs/>
        </w:rPr>
        <w:t>caso contrario se iniciará de forma automática con el proceso de suspensión de la inscripción</w:t>
      </w:r>
      <w:r>
        <w:rPr>
          <w:rFonts w:ascii="Cambria" w:hAnsi="Cambria"/>
          <w:bCs/>
          <w:iCs/>
        </w:rPr>
        <w:t>, para lo cual se le estará notificando la prevención correspondiente al correo electrónico registrado durante el proceso de inscripción. Por tanto, se solicita a todos los sujetos obligados hacer las gestiones correspondientes para cumplir con este requerimiento o para asegurarse de ya haberlo cumplido.</w:t>
      </w:r>
    </w:p>
    <w:p w:rsidR="00F318B8" w:rsidP="00F318B8" w:rsidRDefault="00F318B8" w14:paraId="25702811" w14:textId="77777777">
      <w:pPr>
        <w:pStyle w:val="Prrafodelista"/>
        <w:ind w:left="720"/>
        <w:contextualSpacing/>
        <w:jc w:val="both"/>
        <w:rPr>
          <w:rFonts w:ascii="Cambria" w:hAnsi="Cambria"/>
          <w:bCs/>
          <w:iCs/>
        </w:rPr>
      </w:pPr>
    </w:p>
    <w:p w:rsidRPr="006E7DDD" w:rsidR="00F318B8" w:rsidP="00F318B8" w:rsidRDefault="00F318B8" w14:paraId="5ABDD643" w14:textId="77777777">
      <w:pPr>
        <w:pStyle w:val="Prrafodelista"/>
        <w:numPr>
          <w:ilvl w:val="0"/>
          <w:numId w:val="7"/>
        </w:numPr>
        <w:jc w:val="both"/>
        <w:rPr>
          <w:rFonts w:ascii="Cambria" w:hAnsi="Cambria"/>
          <w:bCs/>
          <w:iCs/>
        </w:rPr>
      </w:pPr>
      <w:r>
        <w:rPr>
          <w:rFonts w:ascii="Cambria" w:hAnsi="Cambria"/>
          <w:bCs/>
          <w:iCs/>
        </w:rPr>
        <w:t xml:space="preserve">La asignación de la cuenta </w:t>
      </w:r>
      <w:r w:rsidRPr="003260C0">
        <w:rPr>
          <w:rFonts w:ascii="Cambria" w:hAnsi="Cambria"/>
          <w:bCs/>
          <w:iCs/>
        </w:rPr>
        <w:t xml:space="preserve">sobre la cual se debe de ejecutar el cobro del canon se </w:t>
      </w:r>
      <w:r>
        <w:rPr>
          <w:rFonts w:ascii="Cambria" w:hAnsi="Cambria"/>
          <w:bCs/>
          <w:iCs/>
        </w:rPr>
        <w:t xml:space="preserve">debe </w:t>
      </w:r>
      <w:r w:rsidRPr="003260C0">
        <w:rPr>
          <w:rFonts w:ascii="Cambria" w:hAnsi="Cambria"/>
          <w:bCs/>
          <w:iCs/>
        </w:rPr>
        <w:t xml:space="preserve">realizar por medio de la plataforma </w:t>
      </w:r>
      <w:r w:rsidRPr="00E7437C">
        <w:rPr>
          <w:rFonts w:ascii="Cambria" w:hAnsi="Cambria"/>
          <w:b/>
          <w:iCs/>
        </w:rPr>
        <w:t>“</w:t>
      </w:r>
      <w:r w:rsidRPr="00E7437C">
        <w:rPr>
          <w:rFonts w:ascii="Cambria" w:hAnsi="Cambria"/>
          <w:b/>
          <w:i/>
        </w:rPr>
        <w:t>S</w:t>
      </w:r>
      <w:r>
        <w:rPr>
          <w:rFonts w:ascii="Cambria" w:hAnsi="Cambria"/>
          <w:b/>
          <w:i/>
        </w:rPr>
        <w:t xml:space="preserve">UGEF </w:t>
      </w:r>
      <w:r w:rsidRPr="00E7437C">
        <w:rPr>
          <w:rFonts w:ascii="Cambria" w:hAnsi="Cambria"/>
          <w:b/>
          <w:i/>
        </w:rPr>
        <w:t>Directo/ Platafo</w:t>
      </w:r>
      <w:r>
        <w:rPr>
          <w:rFonts w:ascii="Cambria" w:hAnsi="Cambria"/>
          <w:b/>
          <w:i/>
        </w:rPr>
        <w:t>r</w:t>
      </w:r>
      <w:r w:rsidRPr="00E7437C">
        <w:rPr>
          <w:rFonts w:ascii="Cambria" w:hAnsi="Cambria"/>
          <w:b/>
          <w:i/>
        </w:rPr>
        <w:t>ma de Supervisión/ Información de la entidad/ “asignar</w:t>
      </w:r>
      <w:r w:rsidRPr="00E7437C">
        <w:rPr>
          <w:rFonts w:ascii="Cambria" w:hAnsi="Cambria"/>
          <w:b/>
          <w:iCs/>
        </w:rPr>
        <w:t>”</w:t>
      </w:r>
      <w:r>
        <w:rPr>
          <w:rFonts w:ascii="Cambria" w:hAnsi="Cambria"/>
          <w:bCs/>
          <w:iCs/>
        </w:rPr>
        <w:t xml:space="preserve">, y selecciona </w:t>
      </w:r>
      <w:r w:rsidRPr="00140642">
        <w:rPr>
          <w:rFonts w:ascii="Cambria" w:hAnsi="Cambria"/>
          <w:bCs/>
          <w:iCs/>
        </w:rPr>
        <w:t>la cuenta a debitar.</w:t>
      </w:r>
    </w:p>
    <w:p w:rsidR="00F318B8" w:rsidP="00F318B8" w:rsidRDefault="00F318B8" w14:paraId="3FD1AA1F" w14:textId="77777777">
      <w:pPr>
        <w:pStyle w:val="Prrafodelista"/>
        <w:ind w:left="720"/>
        <w:contextualSpacing/>
        <w:jc w:val="both"/>
        <w:rPr>
          <w:rFonts w:ascii="Cambria" w:hAnsi="Cambria"/>
          <w:bCs/>
          <w:iCs/>
        </w:rPr>
      </w:pPr>
    </w:p>
    <w:p w:rsidR="00F318B8" w:rsidP="00F318B8" w:rsidRDefault="00F318B8" w14:paraId="697842AC" w14:textId="77777777">
      <w:pPr>
        <w:pStyle w:val="Prrafodelista"/>
        <w:numPr>
          <w:ilvl w:val="0"/>
          <w:numId w:val="7"/>
        </w:numPr>
        <w:contextualSpacing/>
        <w:jc w:val="both"/>
        <w:rPr>
          <w:rFonts w:ascii="Cambria" w:hAnsi="Cambria"/>
          <w:bCs/>
          <w:iCs/>
        </w:rPr>
      </w:pPr>
      <w:r w:rsidRPr="00691D3D">
        <w:rPr>
          <w:rFonts w:ascii="Cambria" w:hAnsi="Cambria"/>
          <w:b/>
          <w:iCs/>
        </w:rPr>
        <w:t>El cobro del canon</w:t>
      </w:r>
      <w:r w:rsidRPr="00A4276A">
        <w:rPr>
          <w:rFonts w:ascii="Cambria" w:hAnsi="Cambria"/>
          <w:b/>
          <w:iCs/>
        </w:rPr>
        <w:t xml:space="preserve"> se estará ejecutando de forma automática sobre las cuentas indicadas por los sujetos inscritos, entre el </w:t>
      </w:r>
      <w:r>
        <w:rPr>
          <w:rFonts w:ascii="Cambria" w:hAnsi="Cambria"/>
          <w:b/>
          <w:iCs/>
        </w:rPr>
        <w:t>2 y el 31 de mayo de 2022</w:t>
      </w:r>
      <w:r>
        <w:rPr>
          <w:rFonts w:ascii="Cambria" w:hAnsi="Cambria"/>
          <w:bCs/>
          <w:iCs/>
        </w:rPr>
        <w:t xml:space="preserve">, por lo que el sujeto obligado debe asegurarse de disponer de los fondos suficientes para que el cobro del canon sea efectivo. En caso de no poder realizar el cobro del canon por fondos insuficientes a la fecha máxima indicada, </w:t>
      </w:r>
      <w:r w:rsidRPr="00691D3D">
        <w:rPr>
          <w:rFonts w:ascii="Cambria" w:hAnsi="Cambria"/>
          <w:b/>
          <w:iCs/>
        </w:rPr>
        <w:t>se iniciará de forma automática con el proceso de suspensión de la inscripción</w:t>
      </w:r>
      <w:r>
        <w:rPr>
          <w:rFonts w:ascii="Cambria" w:hAnsi="Cambria"/>
          <w:bCs/>
          <w:iCs/>
        </w:rPr>
        <w:t>, para lo cual se le estará notificando la prevención correspondiente al correo electrónico registrado durante el proceso de inscripción.</w:t>
      </w:r>
    </w:p>
    <w:p w:rsidR="00F318B8" w:rsidP="00F318B8" w:rsidRDefault="00F318B8" w14:paraId="45A2B167" w14:textId="77777777">
      <w:pPr>
        <w:pStyle w:val="Prrafodelista"/>
        <w:ind w:left="720"/>
        <w:contextualSpacing/>
        <w:jc w:val="both"/>
        <w:rPr>
          <w:rFonts w:ascii="Cambria" w:hAnsi="Cambria"/>
          <w:bCs/>
          <w:iCs/>
        </w:rPr>
      </w:pPr>
    </w:p>
    <w:p w:rsidRPr="00691D3D" w:rsidR="00F318B8" w:rsidP="00F318B8" w:rsidRDefault="00F318B8" w14:paraId="7E13655D" w14:textId="77777777">
      <w:pPr>
        <w:pStyle w:val="Prrafodelista"/>
        <w:numPr>
          <w:ilvl w:val="0"/>
          <w:numId w:val="7"/>
        </w:numPr>
        <w:contextualSpacing/>
        <w:jc w:val="both"/>
        <w:rPr>
          <w:rFonts w:ascii="Cambria" w:hAnsi="Cambria"/>
          <w:b/>
          <w:iCs/>
        </w:rPr>
      </w:pPr>
      <w:r>
        <w:rPr>
          <w:rFonts w:ascii="Cambria" w:hAnsi="Cambria"/>
          <w:b/>
          <w:iCs/>
        </w:rPr>
        <w:t>Además, de</w:t>
      </w:r>
      <w:r w:rsidRPr="00691D3D">
        <w:rPr>
          <w:rFonts w:ascii="Cambria" w:hAnsi="Cambria"/>
          <w:b/>
          <w:iCs/>
        </w:rPr>
        <w:t xml:space="preserve"> conformidad con lo dispuesto en el artículo 23 del Reglamento de Inscripción, Acuerdo SUGEF 11-18, en tanto el sujeto obligado se encuentren en estado “suspendido” o “revocado”, las entidades financieras no podrán prestarle el servicio, o continuar prestando el servicio a los clientes que realicen actividades descritas en los artículos 15 y 15 bis de la Ley 7786.</w:t>
      </w:r>
    </w:p>
    <w:p w:rsidRPr="00F17E2E" w:rsidR="00F318B8" w:rsidP="00F318B8" w:rsidRDefault="00F318B8" w14:paraId="492495AC" w14:textId="77777777">
      <w:pPr>
        <w:contextualSpacing/>
        <w:rPr>
          <w:bCs/>
          <w:iCs/>
        </w:rPr>
      </w:pPr>
    </w:p>
    <w:p w:rsidRPr="001E25D6" w:rsidR="00F318B8" w:rsidP="00F318B8" w:rsidRDefault="00F318B8" w14:paraId="1B8ECF1D" w14:textId="77777777">
      <w:pPr>
        <w:pStyle w:val="Prrafodelista"/>
        <w:numPr>
          <w:ilvl w:val="0"/>
          <w:numId w:val="7"/>
        </w:numPr>
        <w:contextualSpacing/>
        <w:jc w:val="both"/>
        <w:rPr>
          <w:rFonts w:ascii="Cambria" w:hAnsi="Cambria"/>
          <w:bCs/>
          <w:iCs/>
        </w:rPr>
      </w:pPr>
      <w:r w:rsidRPr="00686036">
        <w:rPr>
          <w:rFonts w:ascii="Cambria" w:hAnsi="Cambria"/>
          <w:bCs/>
          <w:iCs/>
        </w:rPr>
        <w:t xml:space="preserve">Los sujetos obligados prevenidos </w:t>
      </w:r>
      <w:r>
        <w:rPr>
          <w:rFonts w:ascii="Cambria" w:hAnsi="Cambria"/>
          <w:bCs/>
          <w:iCs/>
        </w:rPr>
        <w:t xml:space="preserve">o suspendidos </w:t>
      </w:r>
      <w:r w:rsidRPr="00686036">
        <w:rPr>
          <w:rFonts w:ascii="Cambria" w:hAnsi="Cambria"/>
          <w:bCs/>
          <w:iCs/>
        </w:rPr>
        <w:t xml:space="preserve">por incumplir con el plazo establecido para la </w:t>
      </w:r>
      <w:r>
        <w:rPr>
          <w:rFonts w:ascii="Cambria" w:hAnsi="Cambria"/>
          <w:bCs/>
          <w:iCs/>
        </w:rPr>
        <w:t>de</w:t>
      </w:r>
      <w:r w:rsidRPr="00686036">
        <w:rPr>
          <w:rFonts w:ascii="Cambria" w:hAnsi="Cambria"/>
          <w:bCs/>
          <w:iCs/>
        </w:rPr>
        <w:t xml:space="preserve">signación de la cuenta para el cobro del canon </w:t>
      </w:r>
      <w:r>
        <w:rPr>
          <w:rFonts w:ascii="Cambria" w:hAnsi="Cambria"/>
          <w:bCs/>
          <w:iCs/>
        </w:rPr>
        <w:t xml:space="preserve">o por no disponer de fondos suficientes, </w:t>
      </w:r>
      <w:r w:rsidRPr="00686036">
        <w:rPr>
          <w:rFonts w:ascii="Cambria" w:hAnsi="Cambria"/>
          <w:bCs/>
          <w:iCs/>
        </w:rPr>
        <w:t>podrán normalizar su situación</w:t>
      </w:r>
      <w:r w:rsidRPr="001E25D6">
        <w:rPr>
          <w:rFonts w:ascii="Cambria" w:hAnsi="Cambria"/>
          <w:bCs/>
          <w:iCs/>
        </w:rPr>
        <w:t xml:space="preserve"> mediante el suministro de la información </w:t>
      </w:r>
      <w:r>
        <w:rPr>
          <w:rFonts w:ascii="Cambria" w:hAnsi="Cambria"/>
          <w:bCs/>
          <w:iCs/>
        </w:rPr>
        <w:t>requerida</w:t>
      </w:r>
      <w:r w:rsidRPr="001E25D6">
        <w:rPr>
          <w:rFonts w:ascii="Cambria" w:hAnsi="Cambria"/>
          <w:bCs/>
          <w:iCs/>
        </w:rPr>
        <w:t xml:space="preserve"> </w:t>
      </w:r>
      <w:r>
        <w:rPr>
          <w:rFonts w:ascii="Cambria" w:hAnsi="Cambria"/>
          <w:bCs/>
          <w:iCs/>
        </w:rPr>
        <w:t>por medio del sistema antes indicado o</w:t>
      </w:r>
      <w:r w:rsidRPr="001E25D6">
        <w:rPr>
          <w:rFonts w:ascii="Cambria" w:hAnsi="Cambria"/>
          <w:bCs/>
          <w:iCs/>
        </w:rPr>
        <w:t xml:space="preserve"> </w:t>
      </w:r>
      <w:r>
        <w:rPr>
          <w:rFonts w:ascii="Cambria" w:hAnsi="Cambria"/>
          <w:bCs/>
          <w:iCs/>
        </w:rPr>
        <w:t xml:space="preserve">disponer </w:t>
      </w:r>
      <w:r w:rsidRPr="001E25D6">
        <w:rPr>
          <w:rFonts w:ascii="Cambria" w:hAnsi="Cambria"/>
          <w:bCs/>
          <w:iCs/>
        </w:rPr>
        <w:t xml:space="preserve">de los recursos suficientes en la cuenta </w:t>
      </w:r>
      <w:r>
        <w:rPr>
          <w:rFonts w:ascii="Cambria" w:hAnsi="Cambria"/>
          <w:bCs/>
          <w:iCs/>
        </w:rPr>
        <w:t>registrada</w:t>
      </w:r>
      <w:r w:rsidRPr="001E25D6">
        <w:rPr>
          <w:rFonts w:ascii="Cambria" w:hAnsi="Cambria"/>
          <w:bCs/>
          <w:iCs/>
        </w:rPr>
        <w:t xml:space="preserve"> para que se ejecute el cobro automático</w:t>
      </w:r>
      <w:r>
        <w:rPr>
          <w:rFonts w:ascii="Cambria" w:hAnsi="Cambria"/>
          <w:bCs/>
          <w:iCs/>
        </w:rPr>
        <w:t>.</w:t>
      </w:r>
      <w:r w:rsidRPr="001E25D6">
        <w:rPr>
          <w:rFonts w:ascii="Cambria" w:hAnsi="Cambria"/>
          <w:bCs/>
          <w:iCs/>
        </w:rPr>
        <w:t xml:space="preserve">, </w:t>
      </w:r>
    </w:p>
    <w:p w:rsidRPr="001E25D6" w:rsidR="00F318B8" w:rsidP="00F318B8" w:rsidRDefault="00F318B8" w14:paraId="50AC4707" w14:textId="77777777">
      <w:pPr>
        <w:pStyle w:val="Prrafodelista"/>
        <w:ind w:left="712"/>
        <w:jc w:val="both"/>
        <w:rPr>
          <w:rFonts w:ascii="Cambria" w:hAnsi="Cambria"/>
          <w:bCs/>
          <w:iCs/>
        </w:rPr>
      </w:pPr>
    </w:p>
    <w:p w:rsidR="00F318B8" w:rsidP="00F318B8" w:rsidRDefault="00F318B8" w14:paraId="7C2DB9EC" w14:textId="4E55A8FF">
      <w:pPr>
        <w:pStyle w:val="Prrafodelista"/>
        <w:numPr>
          <w:ilvl w:val="0"/>
          <w:numId w:val="8"/>
        </w:numPr>
        <w:spacing w:after="160" w:line="259" w:lineRule="auto"/>
        <w:contextualSpacing/>
        <w:jc w:val="both"/>
        <w:rPr>
          <w:rFonts w:ascii="Cambria" w:hAnsi="Cambria"/>
          <w:bCs/>
          <w:iCs/>
        </w:rPr>
      </w:pPr>
      <w:r>
        <w:rPr>
          <w:rFonts w:ascii="Cambria" w:hAnsi="Cambria"/>
          <w:bCs/>
          <w:iCs/>
        </w:rPr>
        <w:lastRenderedPageBreak/>
        <w:t>A</w:t>
      </w:r>
      <w:r w:rsidRPr="00276527">
        <w:rPr>
          <w:rFonts w:ascii="Cambria" w:hAnsi="Cambria"/>
          <w:bCs/>
          <w:iCs/>
        </w:rPr>
        <w:t xml:space="preserve"> partir</w:t>
      </w:r>
      <w:r>
        <w:rPr>
          <w:rFonts w:ascii="Cambria" w:hAnsi="Cambria"/>
          <w:bCs/>
          <w:iCs/>
        </w:rPr>
        <w:t xml:space="preserve"> del 1° de junio de 2022</w:t>
      </w:r>
      <w:r w:rsidRPr="00276527">
        <w:rPr>
          <w:rFonts w:ascii="Cambria" w:hAnsi="Cambria"/>
          <w:bCs/>
          <w:iCs/>
        </w:rPr>
        <w:t xml:space="preserve">, se estará iniciando con el cálculo </w:t>
      </w:r>
      <w:r>
        <w:rPr>
          <w:rFonts w:ascii="Cambria" w:hAnsi="Cambria"/>
          <w:bCs/>
          <w:iCs/>
        </w:rPr>
        <w:t xml:space="preserve">automático </w:t>
      </w:r>
      <w:r w:rsidRPr="00276527">
        <w:rPr>
          <w:rFonts w:ascii="Cambria" w:hAnsi="Cambria"/>
          <w:bCs/>
          <w:iCs/>
        </w:rPr>
        <w:t>y el cargo de los intereses moratorios correspondientes.</w:t>
      </w:r>
    </w:p>
    <w:p w:rsidRPr="00B64CD7" w:rsidR="00B64CD7" w:rsidP="00B64CD7" w:rsidRDefault="00B64CD7" w14:paraId="56D48912" w14:textId="77777777">
      <w:pPr>
        <w:pStyle w:val="Prrafodelista"/>
        <w:spacing w:after="160" w:line="259" w:lineRule="auto"/>
        <w:ind w:left="720"/>
        <w:contextualSpacing/>
        <w:jc w:val="both"/>
        <w:rPr>
          <w:rFonts w:ascii="Cambria" w:hAnsi="Cambria"/>
          <w:bCs/>
          <w:iCs/>
        </w:rPr>
      </w:pPr>
    </w:p>
    <w:p w:rsidRPr="00DA5402" w:rsidR="00F318B8" w:rsidP="00F318B8" w:rsidRDefault="00F318B8" w14:paraId="6F23545A" w14:textId="1787FBD3">
      <w:pPr>
        <w:pStyle w:val="Prrafodelista"/>
        <w:numPr>
          <w:ilvl w:val="0"/>
          <w:numId w:val="8"/>
        </w:numPr>
        <w:spacing w:after="160" w:line="259" w:lineRule="auto"/>
        <w:contextualSpacing/>
        <w:jc w:val="both"/>
        <w:rPr>
          <w:rFonts w:ascii="Cambria" w:hAnsi="Cambria"/>
          <w:bCs/>
          <w:iCs/>
        </w:rPr>
      </w:pPr>
      <w:r w:rsidRPr="00DA5402">
        <w:rPr>
          <w:rFonts w:ascii="Cambria" w:hAnsi="Cambria"/>
        </w:rPr>
        <w:t>A partir de la notificación de la suspensión de la inscripción por falta de pago del canon, se estará iniciando con el proceso de cobro judicial.</w:t>
      </w:r>
      <w:r w:rsidRPr="003E01DC">
        <w:rPr>
          <w:rFonts w:ascii="Cambria" w:hAnsi="Cambria"/>
        </w:rPr>
        <w:t xml:space="preserve">  </w:t>
      </w:r>
    </w:p>
    <w:p w:rsidRPr="00691D3D" w:rsidR="00F318B8" w:rsidP="00F318B8" w:rsidRDefault="00F318B8" w14:paraId="13CD9C27" w14:textId="77777777">
      <w:pPr>
        <w:rPr>
          <w:b/>
          <w:bCs/>
          <w:sz w:val="24"/>
          <w:lang w:eastAsia="es-ES"/>
        </w:rPr>
      </w:pPr>
      <w:r w:rsidRPr="00691D3D">
        <w:rPr>
          <w:b/>
          <w:bCs/>
          <w:sz w:val="24"/>
          <w:lang w:eastAsia="es-ES"/>
        </w:rPr>
        <w:t>Evítese inconvenientes, incomodidades y recargos, atendiendo a tiempo sus deberes respecto al pago del canon.</w:t>
      </w:r>
    </w:p>
    <w:bookmarkEnd w:id="2"/>
    <w:p w:rsidRPr="002008A9" w:rsidR="00F318B8" w:rsidP="00F318B8" w:rsidRDefault="00F318B8" w14:paraId="51EC3F96" w14:textId="77777777">
      <w:pPr>
        <w:rPr>
          <w:sz w:val="24"/>
          <w:lang w:eastAsia="es-ES"/>
        </w:rPr>
      </w:pPr>
    </w:p>
    <w:p w:rsidRPr="00D03131" w:rsidR="00F318B8" w:rsidP="00F318B8" w:rsidRDefault="00B64CD7" w14:paraId="73A3E6D5" w14:textId="4AD6760A">
      <w:pPr>
        <w:pStyle w:val="Texto"/>
        <w:spacing w:before="0" w:after="0" w:line="240" w:lineRule="auto"/>
        <w:rPr>
          <w:sz w:val="24"/>
        </w:rPr>
      </w:pPr>
      <w:r w:rsidRPr="00D03131">
        <w:rPr>
          <w:noProof/>
          <w:sz w:val="24"/>
          <w:lang w:val="es-CR" w:eastAsia="es-CR"/>
        </w:rPr>
        <w:drawing>
          <wp:anchor distT="0" distB="0" distL="114300" distR="114300" simplePos="0" relativeHeight="251659264" behindDoc="1" locked="0" layoutInCell="1" allowOverlap="1" wp14:editId="34057E01" wp14:anchorId="5C422BA6">
            <wp:simplePos x="0" y="0"/>
            <wp:positionH relativeFrom="margin">
              <wp:posOffset>-171450</wp:posOffset>
            </wp:positionH>
            <wp:positionV relativeFrom="paragraph">
              <wp:posOffset>213360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D03131" w:rsidR="00F318B8">
        <w:rPr>
          <w:sz w:val="24"/>
        </w:rPr>
        <w:t>Atentamente,</w:t>
      </w:r>
    </w:p>
    <w:p w:rsidRPr="00D03131" w:rsidR="00F318B8" w:rsidP="00F318B8" w:rsidRDefault="00F318B8" w14:paraId="71DB6F63" w14:textId="35745465">
      <w:pPr>
        <w:spacing w:line="240" w:lineRule="auto"/>
        <w:rPr>
          <w:sz w:val="24"/>
        </w:rPr>
      </w:pPr>
    </w:p>
    <w:p w:rsidRPr="00D03131" w:rsidR="00F318B8" w:rsidP="00F318B8" w:rsidRDefault="00F318B8" w14:paraId="0A4D2C78" w14:textId="77777777">
      <w:pPr>
        <w:spacing w:line="240" w:lineRule="auto"/>
        <w:rPr>
          <w:sz w:val="24"/>
        </w:rPr>
      </w:pPr>
    </w:p>
    <w:p w:rsidRPr="00D03131" w:rsidR="00F318B8" w:rsidP="00F318B8" w:rsidRDefault="00F318B8" w14:paraId="6600B1B2" w14:textId="77777777">
      <w:pPr>
        <w:pStyle w:val="Negrita"/>
        <w:spacing w:line="240" w:lineRule="auto"/>
        <w:rPr>
          <w:b w:val="0"/>
          <w:sz w:val="24"/>
        </w:rPr>
      </w:pPr>
      <w:r w:rsidRPr="00D03131">
        <w:rPr>
          <w:b w:val="0"/>
          <w:sz w:val="24"/>
        </w:rPr>
        <w:t>José Armando Fallas Martínez</w:t>
      </w:r>
    </w:p>
    <w:p w:rsidRPr="00D03131" w:rsidR="00F318B8" w:rsidP="00F318B8" w:rsidRDefault="00F318B8" w14:paraId="43ADD441" w14:textId="77777777">
      <w:pPr>
        <w:pStyle w:val="Negrita"/>
        <w:spacing w:line="240" w:lineRule="auto"/>
        <w:rPr>
          <w:noProof/>
          <w:sz w:val="24"/>
          <w:lang w:val="es-CR" w:eastAsia="es-CR"/>
        </w:rPr>
      </w:pPr>
      <w:r w:rsidRPr="00D03131">
        <w:rPr>
          <w:sz w:val="24"/>
        </w:rPr>
        <w:t xml:space="preserve">Intendente </w:t>
      </w:r>
      <w:r w:rsidRPr="00D03131">
        <w:rPr>
          <w:noProof/>
          <w:sz w:val="24"/>
          <w:lang w:val="es-CR" w:eastAsia="es-CR"/>
        </w:rPr>
        <w:t xml:space="preserve"> </w:t>
      </w:r>
      <w:r>
        <w:rPr>
          <w:noProof/>
          <w:sz w:val="24"/>
          <w:lang w:val="es-CR" w:eastAsia="es-CR"/>
        </w:rPr>
        <w:t>General</w:t>
      </w:r>
    </w:p>
    <w:p w:rsidRPr="00D03131" w:rsidR="00F318B8" w:rsidP="00F318B8" w:rsidRDefault="00F318B8" w14:paraId="7EB48C3D" w14:textId="77777777">
      <w:pPr>
        <w:pStyle w:val="Negrita"/>
        <w:rPr>
          <w:sz w:val="24"/>
        </w:rPr>
      </w:pPr>
    </w:p>
    <w:p w:rsidRPr="00B64CD7" w:rsidR="00F318B8" w:rsidP="00F318B8" w:rsidRDefault="00F318B8" w14:paraId="6F74FD10" w14:textId="77777777">
      <w:pPr>
        <w:pStyle w:val="Negrita"/>
        <w:rPr>
          <w:sz w:val="32"/>
          <w:szCs w:val="32"/>
        </w:rPr>
      </w:pPr>
    </w:p>
    <w:p w:rsidRPr="00B64CD7" w:rsidR="00F318B8" w:rsidP="00F318B8" w:rsidRDefault="00F318B8" w14:paraId="761D4738" w14:textId="2706BE44">
      <w:pPr>
        <w:pStyle w:val="Negrita"/>
        <w:spacing w:line="240" w:lineRule="auto"/>
        <w:rPr>
          <w:b w:val="0"/>
          <w:sz w:val="20"/>
          <w:szCs w:val="20"/>
        </w:rPr>
      </w:pPr>
      <w:r w:rsidRPr="00B64CD7">
        <w:rPr>
          <w:b w:val="0"/>
          <w:sz w:val="20"/>
          <w:szCs w:val="20"/>
        </w:rPr>
        <w:t>JAFM/VAD/</w:t>
      </w:r>
      <w:proofErr w:type="spellStart"/>
      <w:r w:rsidRPr="00B64CD7">
        <w:rPr>
          <w:b w:val="0"/>
          <w:sz w:val="20"/>
          <w:szCs w:val="20"/>
        </w:rPr>
        <w:t>muf</w:t>
      </w:r>
      <w:proofErr w:type="spellEnd"/>
      <w:r w:rsidRPr="00B64CD7">
        <w:rPr>
          <w:b w:val="0"/>
          <w:sz w:val="20"/>
          <w:szCs w:val="20"/>
        </w:rPr>
        <w:t>/</w:t>
      </w:r>
      <w:proofErr w:type="spellStart"/>
      <w:r w:rsidRPr="00B64CD7" w:rsidR="00B64CD7">
        <w:rPr>
          <w:b w:val="0"/>
          <w:sz w:val="20"/>
          <w:szCs w:val="20"/>
        </w:rPr>
        <w:t>mpl</w:t>
      </w:r>
      <w:proofErr w:type="spellEnd"/>
    </w:p>
    <w:p w:rsidRPr="006972C9" w:rsidR="00AF06C5" w:rsidP="00F318B8" w:rsidRDefault="00AF06C5" w14:paraId="38D64D4E" w14:textId="76ABB78E">
      <w:pPr>
        <w:pStyle w:val="encabezado0"/>
        <w:spacing w:line="240" w:lineRule="auto"/>
      </w:pPr>
    </w:p>
    <w:sectPr w:rsidRPr="006972C9"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E1B84" w14:textId="77777777" w:rsidR="00F318B8" w:rsidRDefault="00F318B8" w:rsidP="009349F3">
      <w:pPr>
        <w:spacing w:line="240" w:lineRule="auto"/>
      </w:pPr>
      <w:r>
        <w:separator/>
      </w:r>
    </w:p>
  </w:endnote>
  <w:endnote w:type="continuationSeparator" w:id="0">
    <w:p w14:paraId="20ABBB97" w14:textId="77777777" w:rsidR="00F318B8" w:rsidRDefault="00F318B8"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6471" w:rsidRDefault="007F6471" w14:paraId="25E23DB7"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170AB919" w14:textId="77777777">
      <w:tc>
        <w:tcPr>
          <w:tcW w:w="2942" w:type="dxa"/>
        </w:tcPr>
        <w:p w:rsidR="007F6471" w:rsidP="007F6471" w:rsidRDefault="007F6471" w14:paraId="39230CFC" w14:textId="77777777">
          <w:pPr>
            <w:pStyle w:val="Piedepgina"/>
            <w:rPr>
              <w:b/>
              <w:color w:val="7F7F7F" w:themeColor="text1" w:themeTint="80"/>
              <w:sz w:val="16"/>
              <w:szCs w:val="16"/>
            </w:rPr>
          </w:pPr>
          <w:r>
            <w:rPr>
              <w:b/>
              <w:color w:val="7F7F7F" w:themeColor="text1" w:themeTint="80"/>
              <w:sz w:val="16"/>
              <w:szCs w:val="16"/>
            </w:rPr>
            <w:t>Teléfono: (506) 2243-4848</w:t>
          </w:r>
        </w:p>
        <w:p w:rsidR="00517D62" w:rsidP="007F6471" w:rsidRDefault="007F6471" w14:paraId="10B5E037"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7F6471" w:rsidP="007F6471" w:rsidRDefault="007F6471" w14:paraId="2C674817" w14:textId="77777777">
          <w:pPr>
            <w:pStyle w:val="Piedepgina"/>
            <w:rPr>
              <w:b/>
              <w:color w:val="7F7F7F" w:themeColor="text1" w:themeTint="80"/>
              <w:sz w:val="16"/>
              <w:szCs w:val="16"/>
            </w:rPr>
          </w:pPr>
        </w:p>
      </w:tc>
      <w:tc>
        <w:tcPr>
          <w:tcW w:w="2943" w:type="dxa"/>
        </w:tcPr>
        <w:p w:rsidRPr="009349F3" w:rsidR="00517D62" w:rsidP="00855792" w:rsidRDefault="00517D62" w14:paraId="11457758"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31002E68"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6F011189"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D368ED">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116B9F2B"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6471" w:rsidRDefault="007F6471" w14:paraId="64A46A1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C16D8" w14:textId="77777777" w:rsidR="00F318B8" w:rsidRDefault="00F318B8" w:rsidP="009349F3">
      <w:pPr>
        <w:spacing w:line="240" w:lineRule="auto"/>
      </w:pPr>
      <w:r>
        <w:separator/>
      </w:r>
    </w:p>
  </w:footnote>
  <w:footnote w:type="continuationSeparator" w:id="0">
    <w:p w14:paraId="7C640B48" w14:textId="77777777" w:rsidR="00F318B8" w:rsidRDefault="00F318B8"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6471" w:rsidRDefault="007F6471" w14:paraId="2C3D2F2E"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54D50735" w14:textId="77777777">
    <w:pPr>
      <w:pStyle w:val="Encabezado"/>
    </w:pPr>
    <w:r>
      <w:ptab w:alignment="center" w:relativeTo="margin" w:leader="none"/>
    </w:r>
    <w:r>
      <w:rPr>
        <w:noProof/>
        <w:lang w:val="es-CR" w:eastAsia="es-CR"/>
      </w:rPr>
      <w:drawing>
        <wp:inline distT="0" distB="0" distL="0" distR="0" wp14:anchorId="581E65BF" wp14:editId="2132440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6471" w:rsidRDefault="007F6471" w14:paraId="0DF25B66"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39642AB"/>
    <w:multiLevelType w:val="hybridMultilevel"/>
    <w:tmpl w:val="3334DA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560369A1"/>
    <w:multiLevelType w:val="hybridMultilevel"/>
    <w:tmpl w:val="0A64E1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66092B37"/>
    <w:multiLevelType w:val="hybridMultilevel"/>
    <w:tmpl w:val="E55805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6F072668"/>
    <w:multiLevelType w:val="hybridMultilevel"/>
    <w:tmpl w:val="52D87F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77361E76"/>
    <w:multiLevelType w:val="hybridMultilevel"/>
    <w:tmpl w:val="BB1CA610"/>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7" w15:restartNumberingAfterBreak="0">
    <w:nsid w:val="7AB70611"/>
    <w:multiLevelType w:val="hybridMultilevel"/>
    <w:tmpl w:val="10C26150"/>
    <w:lvl w:ilvl="0" w:tplc="D5ACA58A">
      <w:start w:val="1"/>
      <w:numFmt w:val="decimal"/>
      <w:lvlText w:val="%1."/>
      <w:lvlJc w:val="left"/>
      <w:pPr>
        <w:ind w:left="570" w:hanging="570"/>
      </w:pPr>
      <w:rPr>
        <w:rFonts w:hint="default"/>
        <w:b/>
        <w:bCs w:val="0"/>
        <w:i/>
        <w:i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5"/>
  </w:num>
  <w:num w:numId="5">
    <w:abstractNumId w:val="1"/>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B8"/>
    <w:rsid w:val="00014723"/>
    <w:rsid w:val="002D6ACD"/>
    <w:rsid w:val="00342844"/>
    <w:rsid w:val="003534B8"/>
    <w:rsid w:val="00517D62"/>
    <w:rsid w:val="005F7C14"/>
    <w:rsid w:val="00605C50"/>
    <w:rsid w:val="0066384E"/>
    <w:rsid w:val="006972C9"/>
    <w:rsid w:val="006A021E"/>
    <w:rsid w:val="007115F4"/>
    <w:rsid w:val="0071484B"/>
    <w:rsid w:val="00764958"/>
    <w:rsid w:val="007D5308"/>
    <w:rsid w:val="007F6471"/>
    <w:rsid w:val="008200B7"/>
    <w:rsid w:val="00852F96"/>
    <w:rsid w:val="00855792"/>
    <w:rsid w:val="00900B79"/>
    <w:rsid w:val="009349F3"/>
    <w:rsid w:val="009B20F0"/>
    <w:rsid w:val="00A109F4"/>
    <w:rsid w:val="00AF06C5"/>
    <w:rsid w:val="00B64CD7"/>
    <w:rsid w:val="00CA7EB5"/>
    <w:rsid w:val="00D368ED"/>
    <w:rsid w:val="00DE2D06"/>
    <w:rsid w:val="00E85F23"/>
    <w:rsid w:val="00EB2CF5"/>
    <w:rsid w:val="00F318B8"/>
    <w:rsid w:val="00F3761B"/>
    <w:rsid w:val="00F935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48D0CD"/>
  <w15:chartTrackingRefBased/>
  <w15:docId w15:val="{542B6625-5CCA-4995-8FB7-785C5546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7D530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308"/>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F318B8"/>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F318B8"/>
    <w:rPr>
      <w:rFonts w:ascii="Times New Roman" w:eastAsia="Times New Roman" w:hAnsi="Times New Roman" w:cs="Times New Roman"/>
      <w:sz w:val="24"/>
      <w:szCs w:val="24"/>
      <w:lang w:val="es-ES" w:eastAsia="es-ES"/>
    </w:rPr>
  </w:style>
  <w:style w:type="paragraph" w:customStyle="1" w:styleId="Default">
    <w:name w:val="Default"/>
    <w:rsid w:val="00F318B8"/>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6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COA-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868020E0C2B4C7289C38567E824A2DE"/>
        <w:category>
          <w:name w:val="General"/>
          <w:gallery w:val="placeholder"/>
        </w:category>
        <w:types>
          <w:type w:val="bbPlcHdr"/>
        </w:types>
        <w:behaviors>
          <w:behavior w:val="content"/>
        </w:behaviors>
        <w:guid w:val="{276B606F-2D73-4DCC-A1A3-224F55352BF9}"/>
      </w:docPartPr>
      <w:docPartBody>
        <w:p w:rsidR="00442EE4" w:rsidRDefault="007D3715">
          <w:pPr>
            <w:pStyle w:val="7868020E0C2B4C7289C38567E824A2DE"/>
          </w:pPr>
          <w:r w:rsidRPr="001E0779">
            <w:rPr>
              <w:rStyle w:val="Textodelmarcadordeposicin"/>
            </w:rPr>
            <w:t>Haga clic aquí para escribir texto.</w:t>
          </w:r>
        </w:p>
      </w:docPartBody>
    </w:docPart>
    <w:docPart>
      <w:docPartPr>
        <w:name w:val="B73CD0DCFE4A4AABA834E8F908B51325"/>
        <w:category>
          <w:name w:val="General"/>
          <w:gallery w:val="placeholder"/>
        </w:category>
        <w:types>
          <w:type w:val="bbPlcHdr"/>
        </w:types>
        <w:behaviors>
          <w:behavior w:val="content"/>
        </w:behaviors>
        <w:guid w:val="{309F7453-F802-4B19-89EC-075E9B162653}"/>
      </w:docPartPr>
      <w:docPartBody>
        <w:p w:rsidR="00442EE4" w:rsidRDefault="007D3715">
          <w:pPr>
            <w:pStyle w:val="B73CD0DCFE4A4AABA834E8F908B5132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15"/>
    <w:rsid w:val="00442EE4"/>
    <w:rsid w:val="007D371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D3715"/>
  </w:style>
  <w:style w:type="paragraph" w:customStyle="1" w:styleId="7868020E0C2B4C7289C38567E824A2DE">
    <w:name w:val="7868020E0C2B4C7289C38567E824A2DE"/>
  </w:style>
  <w:style w:type="paragraph" w:customStyle="1" w:styleId="B73CD0DCFE4A4AABA834E8F908B51325">
    <w:name w:val="B73CD0DCFE4A4AABA834E8F908B513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pcy/YfW/z03OcGX8hmIaq9PRjPPxqxOqzea7MvYGsSk=</DigestValue>
    </Reference>
    <Reference Type="http://www.w3.org/2000/09/xmldsig#Object" URI="#idOfficeObject">
      <DigestMethod Algorithm="http://www.w3.org/2001/04/xmlenc#sha256"/>
      <DigestValue>IoqFR3E6IdJPMbn1zn1eXZI54+4InUR9DyJD8qtEVZQ=</DigestValue>
    </Reference>
    <Reference Type="http://uri.etsi.org/01903#SignedProperties" URI="#idSignedProperties">
      <Transforms>
        <Transform Algorithm="http://www.w3.org/TR/2001/REC-xml-c14n-20010315"/>
      </Transforms>
      <DigestMethod Algorithm="http://www.w3.org/2001/04/xmlenc#sha256"/>
      <DigestValue>5JZm9QhAxalnJHxSX1W1NaROqJ1yWVkm7O+7xJOzv0E=</DigestValue>
    </Reference>
  </SignedInfo>
  <SignatureValue>KrM03a+BXif0ttbMU1P4BO3ZwGiH8SKW5SGyqnBON/M0ouHc4fZOMgv1nfuoPe6z9arpuLuNjxBW
CiAc2r6riGdBgPlIf4TyahIWl4L0nHK+jiCDYYLTW+nMUlDD/tNqUFWp7w8JomhCurkzEbk6jaeN
i7GaCWxQPvpu5RBORFbc0eFMze7MPfdhtL5pApW5gK0Ik0R073gXz0UuqTk7dztTwYEScBu5UxFc
xPFH9V3vSfBi95nbo1PAhXuH2tAvQqV/xOfwck1q0Ve1rKdvuGip1n/UBzaor8J3m9+pxv4acpDk
rOLRBytSEoI6jqL/H4xBNsbWG0TkyMpQe8+bTQ==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6gWFDfBj8cq4sbOYziyALCs9M9CBs0jUENb2oYzxBnE=</DigestValue>
      </Reference>
      <Reference URI="/word/document.xml?ContentType=application/vnd.openxmlformats-officedocument.wordprocessingml.document.main+xml">
        <DigestMethod Algorithm="http://www.w3.org/2001/04/xmlenc#sha256"/>
        <DigestValue>ftY4vg5tNNmCRj1YOz9WQ7xRN56h4PL9GTlqBT7qrAc=</DigestValue>
      </Reference>
      <Reference URI="/word/endnotes.xml?ContentType=application/vnd.openxmlformats-officedocument.wordprocessingml.endnotes+xml">
        <DigestMethod Algorithm="http://www.w3.org/2001/04/xmlenc#sha256"/>
        <DigestValue>rNiG03LtPt9hGprdyPIuCMqvI3O/4ZyWHtoHvvpqASk=</DigestValue>
      </Reference>
      <Reference URI="/word/fontTable.xml?ContentType=application/vnd.openxmlformats-officedocument.wordprocessingml.fontTable+xml">
        <DigestMethod Algorithm="http://www.w3.org/2001/04/xmlenc#sha256"/>
        <DigestValue>hfzmlGJHFbWIcZyNKsN/34jrULnalgfi9FNpriNvPIw=</DigestValue>
      </Reference>
      <Reference URI="/word/footer1.xml?ContentType=application/vnd.openxmlformats-officedocument.wordprocessingml.footer+xml">
        <DigestMethod Algorithm="http://www.w3.org/2001/04/xmlenc#sha256"/>
        <DigestValue>wjI5/lE2A15LYQ7dZwGRJQzVnytmrig31HeYDUrFQm0=</DigestValue>
      </Reference>
      <Reference URI="/word/footer2.xml?ContentType=application/vnd.openxmlformats-officedocument.wordprocessingml.footer+xml">
        <DigestMethod Algorithm="http://www.w3.org/2001/04/xmlenc#sha256"/>
        <DigestValue>QwanVRdqKi7CjZhqEXfisUhjbu8ozaWRy5qtb1T532U=</DigestValue>
      </Reference>
      <Reference URI="/word/footer3.xml?ContentType=application/vnd.openxmlformats-officedocument.wordprocessingml.footer+xml">
        <DigestMethod Algorithm="http://www.w3.org/2001/04/xmlenc#sha256"/>
        <DigestValue>Vnx/cG1F19he5RDcZ5FDVRZsh1ZA012E7owFgFmpVPI=</DigestValue>
      </Reference>
      <Reference URI="/word/footnotes.xml?ContentType=application/vnd.openxmlformats-officedocument.wordprocessingml.footnotes+xml">
        <DigestMethod Algorithm="http://www.w3.org/2001/04/xmlenc#sha256"/>
        <DigestValue>oKq4XXzSHnY+th0UEk1zxaUDkqMqG16TLv8hRmyPmnU=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oVkCxzFsDyrpTRyqkw7aDUWJ4jsC7h0xrRW5OvvyjOA=</DigestValue>
      </Reference>
      <Reference URI="/word/glossary/fontTable.xml?ContentType=application/vnd.openxmlformats-officedocument.wordprocessingml.fontTable+xml">
        <DigestMethod Algorithm="http://www.w3.org/2001/04/xmlenc#sha256"/>
        <DigestValue>hfzmlGJHFbWIcZyNKsN/34jrULnalgfi9FNpriNvPIw=</DigestValue>
      </Reference>
      <Reference URI="/word/glossary/settings.xml?ContentType=application/vnd.openxmlformats-officedocument.wordprocessingml.settings+xml">
        <DigestMethod Algorithm="http://www.w3.org/2001/04/xmlenc#sha256"/>
        <DigestValue>Q/PwkaUG90IakqilzoNW+tKyx08WShyYMlV6X5mjA50=</DigestValue>
      </Reference>
      <Reference URI="/word/glossary/styles.xml?ContentType=application/vnd.openxmlformats-officedocument.wordprocessingml.styles+xml">
        <DigestMethod Algorithm="http://www.w3.org/2001/04/xmlenc#sha256"/>
        <DigestValue>cb9K/Ky1ftFoucj07Cgv5JfFWBH5REK5F+JnDzRrQsQ=</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7xvvpfC+MAupBmF0Vbm8R/fPwpozwHWqKNY6oictUoY=</DigestValue>
      </Reference>
      <Reference URI="/word/header2.xml?ContentType=application/vnd.openxmlformats-officedocument.wordprocessingml.header+xml">
        <DigestMethod Algorithm="http://www.w3.org/2001/04/xmlenc#sha256"/>
        <DigestValue>l7cJhAnX8vA4D2GdIbB/GZILlmgaHWZ3fcTkbBQAWVc=</DigestValue>
      </Reference>
      <Reference URI="/word/header3.xml?ContentType=application/vnd.openxmlformats-officedocument.wordprocessingml.header+xml">
        <DigestMethod Algorithm="http://www.w3.org/2001/04/xmlenc#sha256"/>
        <DigestValue>IHq7wtG5T+NcbbBtt9HBSGcOEkAKrmFxMKjQnrVxEUc=</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7SDpswWT+HP0/JrWYG3iC86sgzNIp3wEcCc4LdeLJnE=</DigestValue>
      </Reference>
      <Reference URI="/word/settings.xml?ContentType=application/vnd.openxmlformats-officedocument.wordprocessingml.settings+xml">
        <DigestMethod Algorithm="http://www.w3.org/2001/04/xmlenc#sha256"/>
        <DigestValue>ZAIlp/lN7kE4Pq43Rrtw8AxlR0grpI+uoCuXwmfGN7E=</DigestValue>
      </Reference>
      <Reference URI="/word/styles.xml?ContentType=application/vnd.openxmlformats-officedocument.wordprocessingml.styles+xml">
        <DigestMethod Algorithm="http://www.w3.org/2001/04/xmlenc#sha256"/>
        <DigestValue>oG3je5KOJoAsPDyxsPuDTx25LcLNUT2NgilcKD9YVIg=</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sqjIUsqaXKYB3m5llPnZLFsVmXQBlb44DBYLDnkG4/8=</DigestValue>
      </Reference>
    </Manifest>
    <SignatureProperties>
      <SignatureProperty Id="idSignatureTime" Target="#idPackageSignature">
        <mdssi:SignatureTime xmlns:mdssi="http://schemas.openxmlformats.org/package/2006/digital-signature">
          <mdssi:Format>YYYY-MM-DDThh:mm:ssTZD</mdssi:Format>
          <mdssi:Value>2022-04-27T00:58:13Z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2022-04-27T00:58:13Z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XaWjW6Ap9CZf1jTAkLB7efTjX09skZFiOFLUFF2xOcCBA7gjTUYDzIwMjIwNDI3MDA1ODI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</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NqbDTYTe0FswCNwBUTm5PmjULkM=</xd:ByKey>
                  </xd:ResponderID>
                  <xd:ProducedAt>2022-04-27T00:58:10Z</xd:ProducedAt>
                </xd:OCSPIdentifier>
                <xd:DigestAlgAndValue>
                  <DigestMethod Algorithm="http://www.w3.org/2001/04/xmlenc#sha256"/>
                  <DigestValue>J9xiK9lcmzSAPinZ3g1KpkJGBNi3LuIglRn8KVYeG3M=</DigestValue>
                </xd:DigestAlgAndValue>
              </xd:OCSPRef>
            </xd:OCSPRefs>
            <xd:CRLRefs>
              <xd:CRLRef>
                <xd:DigestAlgAndValue>
                  <DigestMethod Algorithm="http://www.w3.org/2001/04/xmlenc#sha256"/>
                  <DigestValue>Mstyv/gb1SYzDgFU/HKO+X8O426rVUwCMO1fcp3OycI=</DigestValue>
                </xd:DigestAlgAndValue>
                <xd:CRLIdentifier>
                  <xd:Issuer>CN=CA POLITICA PERSONA FISICA - COSTA RICA v2, OU=DCFD, O=MICITT, C=CR, SERIALNUMBER=CPJ-2-100-098311</xd:Issuer>
                  <xd:IssueTime>2022-03-30T15:43:13Z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</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</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mfqulmmT2qWVfKvjADXCWfmFXy2YQUxSC9owG3Va7JwCBA7gjTgYDzIwMjIwNDI3MDA1ODI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81" ma:contentTypeDescription="Crear nuevo documento." ma:contentTypeScope="" ma:versionID="93493352cc2201228c84c51fe98001e5">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128</Value>
      <Value>161</Value>
      <Value>1</Value>
      <Value>518</Value>
      <Value>971</Value>
      <Value>426</Value>
    </TaxCatchAll>
    <OtraEntidadExterna xmlns="b875e23b-67d9-4b2e-bdec-edacbf90b326">Entidades SUGEF - APNFD´s</OtraEntidadExterna>
    <Firmado xmlns="b875e23b-67d9-4b2e-bdec-edacbf90b326">true</Firmado>
    <Responsable xmlns="b875e23b-67d9-4b2e-bdec-edacbf90b326">
      <UserInfo>
        <DisplayName>ULATE FLORES MARIANELA</DisplayName>
        <AccountId>295</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i:0#.w|pdc-atlantida\ulatefm</DisplayName>
        <AccountId>295</AccountId>
        <AccountType/>
      </UserInfo>
      <UserInfo>
        <DisplayName>i:0#.w|pdc-atlantida\amadordv</DisplayName>
        <AccountId>296</AccountId>
        <AccountType/>
      </UserInfo>
      <UserInfo>
        <DisplayName>i:0#.w|pdc-atlantida\corralesbe</DisplayName>
        <AccountId>1682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Info xmlns="http://schemas.microsoft.com/office/infopath/2007/PartnerControls">
          <TermName xmlns="http://schemas.microsoft.com/office/infopath/2007/PartnerControls">Entidades SUGEF- Art.15</TermName>
          <TermId xmlns="http://schemas.microsoft.com/office/infopath/2007/PartnerControls">ae44c17f-bf96-41bf-861a-542f8e169cb3</TermId>
        </TermInfo>
      </Term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Esta circular debe comunicarse a todos los Artículo  15 y 15 bis (APNFD´s) y a todas las entidades fiscalizadas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2022-04-25T06:00:00+00:00</FechaDocumento>
    <RemitenteOriginal xmlns="b875e23b-67d9-4b2e-bdec-edacbf90b326">Área Coordinación Administrativa</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Cobro APNFDs - 2022</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40F4B46B-4247-4E79-A839-05A1E4DE089A}"/>
</file>

<file path=customXml/itemProps2.xml><?xml version="1.0" encoding="utf-8"?>
<ds:datastoreItem xmlns:ds="http://schemas.openxmlformats.org/officeDocument/2006/customXml" ds:itemID="{896848D8-4DA6-4F61-9169-0E0A759FD7C3}">
  <ds:schemaRefs>
    <ds:schemaRef ds:uri="Microsoft.SharePoint.Taxonomy.ContentTypeSync"/>
  </ds:schemaRefs>
</ds:datastoreItem>
</file>

<file path=customXml/itemProps3.xml><?xml version="1.0" encoding="utf-8"?>
<ds:datastoreItem xmlns:ds="http://schemas.openxmlformats.org/officeDocument/2006/customXml" ds:itemID="{3C07FA91-2DE1-44AC-8F51-DADAD1AE3BEE}"/>
</file>

<file path=customXml/itemProps4.xml><?xml version="1.0" encoding="utf-8"?>
<ds:datastoreItem xmlns:ds="http://schemas.openxmlformats.org/officeDocument/2006/customXml" ds:itemID="{6AD9FD08-85FE-4D3E-AD39-28689D779409}">
  <ds:schemaRefs>
    <ds:schemaRef ds:uri="http://schemas.openxmlformats.org/package/2006/metadata/core-properties"/>
    <ds:schemaRef ds:uri="http://schemas.microsoft.com/office/2006/documentManagement/types"/>
    <ds:schemaRef ds:uri="http://purl.org/dc/dcmitype/"/>
    <ds:schemaRef ds:uri="http://www.w3.org/XML/1998/namespace"/>
    <ds:schemaRef ds:uri="http://purl.org/dc/terms/"/>
    <ds:schemaRef ds:uri="http://purl.org/dc/elements/1.1/"/>
    <ds:schemaRef ds:uri="b875e23b-67d9-4b2e-bdec-edacbf90b326"/>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A41D0EA-E975-44F2-88E5-BE56C36FEB0B}"/>
</file>

<file path=customXml/itemProps6.xml><?xml version="1.0" encoding="utf-8"?>
<ds:datastoreItem xmlns:ds="http://schemas.openxmlformats.org/officeDocument/2006/customXml" ds:itemID="{B73636FD-7011-481A-9318-6883432E554E}"/>
</file>

<file path=docProps/app.xml><?xml version="1.0" encoding="utf-8"?>
<Properties xmlns="http://schemas.openxmlformats.org/officeDocument/2006/extended-properties" xmlns:vt="http://schemas.openxmlformats.org/officeDocument/2006/docPropsVTypes">
  <Template>plantillas-SGF-COA-13-E</Template>
  <TotalTime>17</TotalTime>
  <Pages>7</Pages>
  <Words>2152</Words>
  <Characters>11836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ULATE FLORES MARIANELA</dc:creator>
  <cp:keywords/>
  <dc:description/>
  <cp:lastModifiedBy>PINEDA LOPEZ ELIZABETH MARIANA</cp:lastModifiedBy>
  <cp:revision>3</cp:revision>
  <dcterms:created xsi:type="dcterms:W3CDTF">2022-04-25T17:28:00Z</dcterms:created>
  <dcterms:modified xsi:type="dcterms:W3CDTF">2022-04-26T17:38:00Z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518;#Entidades SUGEF|4209f3ba-07f9-4301-975b-c509947c465b;#971;#Entidades SUGEF- Art.15|ae44c17f-bf96-41bf-861a-542f8e169cb3</vt:lpwstr>
  </property>
  <property fmtid="{D5CDD505-2E9C-101B-9397-08002B2CF9AE}" pid="10" name="ConfidencialidadNueva">
    <vt:lpwstr>1;#Público|99c2402f-8ec3-4ca8-8024-be52e4e7f629</vt:lpwstr>
  </property>
  <property fmtid="{D5CDD505-2E9C-101B-9397-08002B2CF9AE}" pid="11" name="Order">
    <vt:r8>253600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58129e4d-2a7c-4442-ab86-f4288b01d5ff,4;7dedacbb-5c77-4a35-8847-40abd1245d4d,7;</vt:lpwstr>
  </property>
</Properties>
</file>